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r>
              <w:rPr>
                <w:rtl/>
              </w:rPr>
              <w:t xml:space="preserve"> </w:t>
            </w:r>
          </w:p>
        </w:tc>
        <w:tc>
          <w:tcPr>
            <w:tcW w:w="3771" w:type="dxa"/>
          </w:tcPr>
          <w:p w:rsidR="0094424E" w:rsidRDefault="00B61677" w:rsidP="00D44968">
            <w:pPr>
              <w:suppressLineNumbers/>
              <w:rPr>
                <w:rFonts w:ascii="Arial" w:hAnsi="Arial"/>
                <w:b/>
                <w:bCs/>
                <w:noProof w:val="0"/>
                <w:sz w:val="26"/>
                <w:szCs w:val="26"/>
                <w:rtl/>
              </w:rPr>
            </w:pPr>
            <w:r>
              <w:rPr>
                <w:rFonts w:ascii="Arial" w:hAnsi="Arial" w:hint="cs"/>
                <w:b/>
                <w:bCs/>
                <w:noProof w:val="0"/>
                <w:sz w:val="26"/>
                <w:szCs w:val="26"/>
                <w:rtl/>
              </w:rPr>
              <w:t xml:space="preserve">                             </w:t>
            </w:r>
            <w:r w:rsidR="00FA135E">
              <w:rPr>
                <w:rFonts w:ascii="Arial" w:hAnsi="Arial" w:hint="cs"/>
                <w:b/>
                <w:bCs/>
                <w:noProof w:val="0"/>
                <w:sz w:val="26"/>
                <w:szCs w:val="26"/>
                <w:rtl/>
              </w:rPr>
              <w:t xml:space="preserve"> </w:t>
            </w:r>
            <w:r w:rsidR="0094424E">
              <w:rPr>
                <w:rFonts w:ascii="Arial" w:hAnsi="Arial"/>
                <w:b/>
                <w:bCs/>
                <w:noProof w:val="0"/>
                <w:sz w:val="26"/>
                <w:szCs w:val="26"/>
                <w:rtl/>
              </w:rPr>
              <w:t>מספר בקשה:</w:t>
            </w:r>
            <w:sdt>
              <w:sdtPr>
                <w:rPr>
                  <w:rtl/>
                </w:rPr>
                <w:alias w:val="1193"/>
                <w:tag w:val="1193"/>
                <w:id w:val="-636028727"/>
                <w:text w:multiLine="1"/>
              </w:sdtPr>
              <w:sdtEndPr/>
              <w:sdtContent>
                <w:r w:rsidR="0094424E">
                  <w:rPr>
                    <w:rFonts w:ascii="Arial" w:hAnsi="Arial"/>
                    <w:b/>
                    <w:bCs/>
                    <w:noProof w:val="0"/>
                    <w:sz w:val="32"/>
                    <w:szCs w:val="32"/>
                    <w:rtl/>
                  </w:rPr>
                  <w:t>13</w:t>
                </w:r>
              </w:sdtContent>
            </w:sdt>
          </w:p>
        </w:tc>
      </w:tr>
      <w:tr w:rsidR="0094424E">
        <w:trPr>
          <w:jc w:val="center"/>
        </w:trPr>
        <w:tc>
          <w:tcPr>
            <w:tcW w:w="743" w:type="dxa"/>
          </w:tcPr>
          <w:p w:rsidR="0094424E" w:rsidRPr="008A59EE" w:rsidRDefault="0094424E" w:rsidP="00D44968">
            <w:pPr>
              <w:suppressLineNumbers/>
              <w:jc w:val="both"/>
              <w:rPr>
                <w:rFonts w:ascii="Arial" w:hAnsi="Arial"/>
                <w:b/>
                <w:bCs/>
                <w:sz w:val="26"/>
                <w:szCs w:val="26"/>
                <w:rtl/>
              </w:rPr>
            </w:pPr>
            <w:r w:rsidRPr="008A59EE">
              <w:rPr>
                <w:rFonts w:ascii="Arial" w:hAnsi="Arial" w:hint="cs"/>
                <w:b/>
                <w:bCs/>
                <w:sz w:val="26"/>
                <w:szCs w:val="26"/>
                <w:rtl/>
              </w:rPr>
              <w:t>ב</w:t>
            </w:r>
            <w:r w:rsidRPr="008A59EE">
              <w:rPr>
                <w:rFonts w:ascii="Arial" w:hAnsi="Arial"/>
                <w:b/>
                <w:bCs/>
                <w:sz w:val="26"/>
                <w:szCs w:val="26"/>
                <w:rtl/>
              </w:rPr>
              <w:t xml:space="preserve">פני </w:t>
            </w:r>
          </w:p>
        </w:tc>
        <w:tc>
          <w:tcPr>
            <w:tcW w:w="8077" w:type="dxa"/>
            <w:gridSpan w:val="3"/>
          </w:tcPr>
          <w:p w:rsidR="0094424E" w:rsidRPr="008A59EE" w:rsidRDefault="000529D2" w:rsidP="00FA135E">
            <w:pPr>
              <w:suppressLineNumbers/>
              <w:spacing w:after="120"/>
              <w:rPr>
                <w:rFonts w:ascii="Arial" w:hAnsi="Arial"/>
                <w:b/>
                <w:bCs/>
                <w:sz w:val="26"/>
                <w:szCs w:val="26"/>
                <w:rtl/>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8A59EE">
              <w:rPr>
                <w:rFonts w:ascii="Arial" w:hAnsi="Arial" w:hint="cs"/>
                <w:b/>
                <w:bCs/>
                <w:sz w:val="26"/>
                <w:szCs w:val="26"/>
                <w:rtl/>
              </w:rPr>
              <w:t xml:space="preserve"> </w:t>
            </w:r>
            <w:sdt>
              <w:sdtPr>
                <w:rPr>
                  <w:sz w:val="26"/>
                  <w:szCs w:val="26"/>
                  <w:rtl/>
                </w:rPr>
                <w:alias w:val="1573"/>
                <w:tag w:val="1573"/>
                <w:id w:val="-1751030614"/>
                <w:text w:multiLine="1"/>
              </w:sdtPr>
              <w:sdtEndPr/>
              <w:sdtContent>
                <w:r w:rsidR="00B61677">
                  <w:rPr>
                    <w:rFonts w:ascii="Arial" w:hAnsi="Arial" w:hint="cs"/>
                    <w:b/>
                    <w:bCs/>
                    <w:sz w:val="26"/>
                    <w:szCs w:val="26"/>
                    <w:rtl/>
                  </w:rPr>
                  <w:t xml:space="preserve">חננאל </w:t>
                </w:r>
                <w:r>
                  <w:rPr>
                    <w:rFonts w:ascii="Arial" w:hAnsi="Arial"/>
                    <w:b/>
                    <w:bCs/>
                    <w:sz w:val="26"/>
                    <w:szCs w:val="26"/>
                    <w:rtl/>
                  </w:rPr>
                  <w:t>שרעבי</w:t>
                </w:r>
                <w:r w:rsidR="00B61677">
                  <w:rPr>
                    <w:rFonts w:ascii="Arial" w:hAnsi="Arial" w:hint="cs"/>
                    <w:b/>
                    <w:bCs/>
                    <w:sz w:val="26"/>
                    <w:szCs w:val="26"/>
                    <w:rtl/>
                  </w:rPr>
                  <w:t>, אב"ד</w:t>
                </w:r>
              </w:sdtContent>
            </w:sdt>
          </w:p>
          <w:p w:rsidR="0094424E" w:rsidRPr="008A59EE" w:rsidRDefault="000529D2" w:rsidP="00FA135E">
            <w:pPr>
              <w:suppressLineNumbers/>
              <w:spacing w:after="120"/>
              <w:rPr>
                <w:rFonts w:ascii="Arial" w:hAnsi="Arial"/>
                <w:b/>
                <w:bCs/>
                <w:sz w:val="26"/>
                <w:szCs w:val="26"/>
                <w:rtl/>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sdt>
              <w:sdtPr>
                <w:rPr>
                  <w:sz w:val="26"/>
                  <w:szCs w:val="26"/>
                  <w:rtl/>
                </w:rPr>
                <w:alias w:val="1574"/>
                <w:tag w:val="1574"/>
                <w:id w:val="-2023227351"/>
                <w:text w:multiLine="1"/>
              </w:sdtPr>
              <w:sdtEndPr/>
              <w:sdtContent>
                <w:r>
                  <w:rPr>
                    <w:rFonts w:ascii="Arial" w:hAnsi="Arial"/>
                    <w:b/>
                    <w:bCs/>
                    <w:sz w:val="26"/>
                    <w:szCs w:val="26"/>
                    <w:rtl/>
                  </w:rPr>
                  <w:t>שופטת</w:t>
                </w:r>
              </w:sdtContent>
            </w:sdt>
            <w:r w:rsidR="0094424E" w:rsidRPr="008A59EE">
              <w:rPr>
                <w:rFonts w:ascii="Arial" w:hAnsi="Arial" w:hint="cs"/>
                <w:b/>
                <w:bCs/>
                <w:sz w:val="26"/>
                <w:szCs w:val="26"/>
                <w:rtl/>
              </w:rPr>
              <w:t xml:space="preserve"> </w:t>
            </w:r>
            <w:sdt>
              <w:sdtPr>
                <w:rPr>
                  <w:sz w:val="26"/>
                  <w:szCs w:val="26"/>
                  <w:rtl/>
                </w:rPr>
                <w:alias w:val="1573"/>
                <w:tag w:val="1573"/>
                <w:id w:val="1671982352"/>
                <w:text w:multiLine="1"/>
              </w:sdtPr>
              <w:sdtEndPr/>
              <w:sdtContent>
                <w:r w:rsidR="00B61677">
                  <w:rPr>
                    <w:rFonts w:ascii="Arial" w:hAnsi="Arial" w:hint="cs"/>
                    <w:b/>
                    <w:bCs/>
                    <w:sz w:val="26"/>
                    <w:szCs w:val="26"/>
                    <w:rtl/>
                  </w:rPr>
                  <w:t xml:space="preserve">אספרנצה </w:t>
                </w:r>
                <w:r>
                  <w:rPr>
                    <w:rFonts w:ascii="Arial" w:hAnsi="Arial"/>
                    <w:b/>
                    <w:bCs/>
                    <w:sz w:val="26"/>
                    <w:szCs w:val="26"/>
                    <w:rtl/>
                  </w:rPr>
                  <w:t>אלון</w:t>
                </w:r>
              </w:sdtContent>
            </w:sdt>
          </w:p>
          <w:p w:rsidR="0094424E" w:rsidRPr="008A59EE" w:rsidRDefault="000529D2" w:rsidP="00E9269D">
            <w:pPr>
              <w:suppressLineNumbers/>
              <w:rPr>
                <w:rFonts w:ascii="Arial" w:hAnsi="Arial"/>
                <w:b/>
                <w:bCs/>
                <w:sz w:val="26"/>
                <w:szCs w:val="26"/>
                <w:rtl/>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sdt>
              <w:sdtPr>
                <w:rPr>
                  <w:sz w:val="26"/>
                  <w:szCs w:val="26"/>
                  <w:rtl/>
                </w:rPr>
                <w:alias w:val="1574"/>
                <w:tag w:val="1574"/>
                <w:id w:val="609707688"/>
                <w:text w:multiLine="1"/>
              </w:sdtPr>
              <w:sdtEndPr/>
              <w:sdtContent>
                <w:r>
                  <w:rPr>
                    <w:rFonts w:ascii="Arial" w:hAnsi="Arial"/>
                    <w:b/>
                    <w:bCs/>
                    <w:sz w:val="26"/>
                    <w:szCs w:val="26"/>
                    <w:rtl/>
                  </w:rPr>
                  <w:t>שופט</w:t>
                </w:r>
              </w:sdtContent>
            </w:sdt>
            <w:r w:rsidR="0094424E" w:rsidRPr="008A59EE">
              <w:rPr>
                <w:rFonts w:ascii="Arial" w:hAnsi="Arial" w:hint="cs"/>
                <w:b/>
                <w:bCs/>
                <w:sz w:val="26"/>
                <w:szCs w:val="26"/>
                <w:rtl/>
              </w:rPr>
              <w:t xml:space="preserve"> </w:t>
            </w:r>
            <w:sdt>
              <w:sdtPr>
                <w:rPr>
                  <w:sz w:val="26"/>
                  <w:szCs w:val="26"/>
                  <w:rtl/>
                </w:rPr>
                <w:alias w:val="1573"/>
                <w:tag w:val="1573"/>
                <w:id w:val="-2134161671"/>
                <w:text w:multiLine="1"/>
              </w:sdtPr>
              <w:sdtEndPr/>
              <w:sdtContent>
                <w:r w:rsidR="00B61677">
                  <w:rPr>
                    <w:rFonts w:ascii="Arial" w:hAnsi="Arial" w:hint="cs"/>
                    <w:b/>
                    <w:bCs/>
                    <w:sz w:val="26"/>
                    <w:szCs w:val="26"/>
                    <w:rtl/>
                  </w:rPr>
                  <w:t xml:space="preserve">אריה </w:t>
                </w:r>
                <w:r>
                  <w:rPr>
                    <w:rFonts w:ascii="Arial" w:hAnsi="Arial"/>
                    <w:b/>
                    <w:bCs/>
                    <w:sz w:val="26"/>
                    <w:szCs w:val="26"/>
                    <w:rtl/>
                  </w:rPr>
                  <w:t>נאמן</w:t>
                </w:r>
              </w:sdtContent>
            </w:sdt>
          </w:p>
          <w:p w:rsidR="00007DE0" w:rsidRDefault="00007DE0" w:rsidP="00007DE0">
            <w:pPr>
              <w:suppressLineNumbers/>
              <w:rPr>
                <w:sz w:val="26"/>
                <w:szCs w:val="26"/>
                <w:rtl/>
              </w:rPr>
            </w:pPr>
          </w:p>
          <w:p w:rsidR="00FA135E" w:rsidRPr="008A59EE" w:rsidRDefault="00FA135E" w:rsidP="00007DE0">
            <w:pPr>
              <w:suppressLineNumbers/>
              <w:rPr>
                <w:sz w:val="26"/>
                <w:szCs w:val="26"/>
              </w:rPr>
            </w:pPr>
          </w:p>
        </w:tc>
      </w:tr>
      <w:tr w:rsidR="0094424E" w:rsidTr="00465D36">
        <w:trPr>
          <w:jc w:val="center"/>
        </w:trPr>
        <w:tc>
          <w:tcPr>
            <w:tcW w:w="3249" w:type="dxa"/>
            <w:gridSpan w:val="2"/>
          </w:tcPr>
          <w:p w:rsidR="00FA7FD0" w:rsidRDefault="00FA7FD0" w:rsidP="00D44968">
            <w:pPr>
              <w:suppressLineNumbers/>
              <w:rPr>
                <w:rtl/>
              </w:rPr>
            </w:pPr>
          </w:p>
          <w:sdt>
            <w:sdtPr>
              <w:rPr>
                <w:rtl/>
              </w:rPr>
              <w:alias w:val="1180"/>
              <w:tag w:val="1180"/>
              <w:id w:val="637458750"/>
              <w:text w:multiLine="1"/>
            </w:sdtPr>
            <w:sdtEndPr/>
            <w:sdtContent>
              <w:p w:rsidR="003A1B7C" w:rsidRDefault="00B61677">
                <w:pPr>
                  <w:suppressLineNumbers/>
                  <w:rPr>
                    <w:rFonts w:ascii="Arial" w:hAnsi="Arial"/>
                    <w:b/>
                    <w:bCs/>
                    <w:noProof w:val="0"/>
                    <w:sz w:val="26"/>
                    <w:szCs w:val="26"/>
                    <w:rtl/>
                  </w:rPr>
                </w:pPr>
                <w:r>
                  <w:rPr>
                    <w:rFonts w:ascii="Arial" w:hAnsi="Arial"/>
                    <w:b/>
                    <w:bCs/>
                    <w:noProof w:val="0"/>
                    <w:sz w:val="26"/>
                    <w:szCs w:val="26"/>
                    <w:rtl/>
                  </w:rPr>
                  <w:t>מבקש</w:t>
                </w:r>
              </w:p>
            </w:sdtContent>
          </w:sdt>
        </w:tc>
        <w:tc>
          <w:tcPr>
            <w:tcW w:w="5571" w:type="dxa"/>
            <w:gridSpan w:val="2"/>
          </w:tcPr>
          <w:p w:rsidR="00FA7FD0" w:rsidRDefault="00FA7FD0" w:rsidP="00D44968">
            <w:pPr>
              <w:suppressLineNumbers/>
              <w:rPr>
                <w:rtl/>
              </w:rPr>
            </w:pPr>
          </w:p>
          <w:p w:rsidR="0094424E" w:rsidRDefault="005D66F9" w:rsidP="00FA6561">
            <w:pPr>
              <w:suppressLineNumbers/>
              <w:rPr>
                <w:b/>
                <w:bCs/>
                <w:noProof w:val="0"/>
                <w:sz w:val="26"/>
                <w:szCs w:val="26"/>
              </w:rPr>
            </w:pPr>
            <w:sdt>
              <w:sdtPr>
                <w:rPr>
                  <w:rFonts w:ascii="Arial" w:hAnsi="Arial"/>
                  <w:b/>
                  <w:bCs/>
                  <w:noProof w:val="0"/>
                  <w:sz w:val="26"/>
                  <w:szCs w:val="26"/>
                  <w:rtl/>
                </w:rPr>
                <w:alias w:val="3151"/>
                <w:tag w:val="3151"/>
                <w:id w:val="1166218717"/>
                <w:placeholder>
                  <w:docPart w:val="1C8A38705F7143EA87FF3DEB2C34E7E5"/>
                </w:placeholder>
                <w:text w:multiLine="1"/>
              </w:sdtPr>
              <w:sdtEndPr/>
              <w:sdtContent>
                <w:r w:rsidR="00FA6561">
                  <w:rPr>
                    <w:rFonts w:ascii="Arial" w:hAnsi="Arial" w:hint="cs"/>
                    <w:b/>
                    <w:bCs/>
                    <w:noProof w:val="0"/>
                    <w:sz w:val="26"/>
                    <w:szCs w:val="26"/>
                    <w:rtl/>
                  </w:rPr>
                  <w:t>א. ח</w:t>
                </w:r>
                <w:r w:rsidR="00B61677">
                  <w:rPr>
                    <w:rFonts w:ascii="Arial" w:hAnsi="Arial"/>
                    <w:b/>
                    <w:bCs/>
                    <w:noProof w:val="0"/>
                    <w:sz w:val="26"/>
                    <w:szCs w:val="26"/>
                    <w:rtl/>
                  </w:rPr>
                  <w:br/>
                </w:r>
                <w:r w:rsidR="00B61677">
                  <w:rPr>
                    <w:rFonts w:ascii="Arial" w:hAnsi="Arial" w:hint="cs"/>
                    <w:b/>
                    <w:bCs/>
                    <w:noProof w:val="0"/>
                    <w:sz w:val="26"/>
                    <w:szCs w:val="26"/>
                    <w:rtl/>
                  </w:rPr>
                  <w:t>ע"י ב"כ עוה"ד זכי כמאל</w:t>
                </w:r>
              </w:sdtContent>
            </w:sdt>
          </w:p>
        </w:tc>
      </w:tr>
      <w:tr w:rsidR="0094424E">
        <w:trPr>
          <w:jc w:val="center"/>
        </w:trPr>
        <w:tc>
          <w:tcPr>
            <w:tcW w:w="8820" w:type="dxa"/>
            <w:gridSpan w:val="4"/>
          </w:tcPr>
          <w:p w:rsidR="0094424E" w:rsidRDefault="0094424E" w:rsidP="00D44968">
            <w:pPr>
              <w:suppressLineNumbers/>
              <w:rPr>
                <w:rFonts w:ascii="Arial" w:hAnsi="Arial"/>
                <w:b/>
                <w:bCs/>
                <w:noProof w:val="0"/>
                <w:sz w:val="26"/>
                <w:szCs w:val="26"/>
                <w:rtl/>
              </w:rPr>
            </w:pPr>
          </w:p>
          <w:p w:rsidR="0094424E" w:rsidRDefault="0094424E" w:rsidP="00FA135E">
            <w:pPr>
              <w:suppressLineNumbers/>
              <w:spacing w:before="120" w:line="360" w:lineRule="auto"/>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5D66F9" w:rsidP="00D44968">
            <w:pPr>
              <w:suppressLineNumbers/>
              <w:rPr>
                <w:rFonts w:ascii="Arial" w:hAnsi="Arial"/>
                <w:b/>
                <w:bCs/>
                <w:noProof w:val="0"/>
                <w:sz w:val="26"/>
                <w:szCs w:val="26"/>
              </w:rPr>
            </w:pPr>
            <w:sdt>
              <w:sdtPr>
                <w:rPr>
                  <w:rtl/>
                </w:rPr>
                <w:alias w:val="1184"/>
                <w:tag w:val="1184"/>
                <w:id w:val="-340621022"/>
                <w:text w:multiLine="1"/>
              </w:sdtPr>
              <w:sdtEndPr/>
              <w:sdtContent>
                <w:r w:rsidR="00B61677">
                  <w:rPr>
                    <w:rFonts w:ascii="Arial" w:hAnsi="Arial"/>
                    <w:b/>
                    <w:bCs/>
                    <w:noProof w:val="0"/>
                    <w:sz w:val="26"/>
                    <w:szCs w:val="26"/>
                    <w:rtl/>
                  </w:rPr>
                  <w:t>משיב</w:t>
                </w:r>
              </w:sdtContent>
            </w:sdt>
          </w:p>
        </w:tc>
        <w:tc>
          <w:tcPr>
            <w:tcW w:w="5571" w:type="dxa"/>
            <w:gridSpan w:val="2"/>
          </w:tcPr>
          <w:p w:rsidR="00CF6BB7" w:rsidRPr="00CD516B" w:rsidRDefault="005D66F9" w:rsidP="00FA6561">
            <w:pPr>
              <w:suppressLineNumbers/>
              <w:spacing w:after="240"/>
              <w:rPr>
                <w:rFonts w:ascii="Arial" w:hAnsi="Arial"/>
                <w:b/>
                <w:bCs/>
                <w:noProof w:val="0"/>
                <w:sz w:val="26"/>
                <w:szCs w:val="26"/>
                <w:rtl/>
              </w:rPr>
            </w:pPr>
            <w:sdt>
              <w:sdtPr>
                <w:rPr>
                  <w:rFonts w:ascii="Arial" w:hAnsi="Arial"/>
                  <w:b/>
                  <w:bCs/>
                  <w:noProof w:val="0"/>
                  <w:sz w:val="26"/>
                  <w:szCs w:val="26"/>
                  <w:rtl/>
                </w:rPr>
                <w:alias w:val="3152"/>
                <w:tag w:val="3152"/>
                <w:id w:val="-1346628691"/>
                <w:placeholder>
                  <w:docPart w:val="4DC45A2FD697422FAA3CD896A84FA7B4"/>
                </w:placeholder>
                <w:text w:multiLine="1"/>
              </w:sdtPr>
              <w:sdtEndPr/>
              <w:sdtContent>
                <w:r w:rsidR="00FA6561">
                  <w:rPr>
                    <w:rFonts w:ascii="Arial" w:hAnsi="Arial"/>
                    <w:b/>
                    <w:bCs/>
                    <w:noProof w:val="0"/>
                    <w:sz w:val="26"/>
                    <w:szCs w:val="26"/>
                    <w:rtl/>
                  </w:rPr>
                  <w:t>א</w:t>
                </w:r>
                <w:r w:rsidR="00FA6561">
                  <w:rPr>
                    <w:rFonts w:ascii="Arial" w:hAnsi="Arial" w:hint="cs"/>
                    <w:b/>
                    <w:bCs/>
                    <w:noProof w:val="0"/>
                    <w:sz w:val="26"/>
                    <w:szCs w:val="26"/>
                    <w:rtl/>
                  </w:rPr>
                  <w:t>. א. ח</w:t>
                </w:r>
                <w:r w:rsidR="00B61677">
                  <w:rPr>
                    <w:rFonts w:ascii="Arial" w:hAnsi="Arial"/>
                    <w:b/>
                    <w:bCs/>
                    <w:noProof w:val="0"/>
                    <w:sz w:val="26"/>
                    <w:szCs w:val="26"/>
                    <w:rtl/>
                  </w:rPr>
                  <w:br/>
                </w:r>
                <w:r w:rsidR="00B61677">
                  <w:rPr>
                    <w:rFonts w:ascii="Arial" w:hAnsi="Arial" w:hint="cs"/>
                    <w:b/>
                    <w:bCs/>
                    <w:noProof w:val="0"/>
                    <w:sz w:val="26"/>
                    <w:szCs w:val="26"/>
                    <w:rtl/>
                  </w:rPr>
                  <w:t>ע"י ב"כ עוה"ד מרואן מויס</w:t>
                </w:r>
              </w:sdtContent>
            </w:sdt>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rsidP="0092693B">
            <w:pPr>
              <w:bidi w:val="0"/>
              <w:spacing w:line="360" w:lineRule="auto"/>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B61677" w:rsidRDefault="00B61677" w:rsidP="00B61677">
      <w:pPr>
        <w:spacing w:after="120" w:line="360" w:lineRule="auto"/>
        <w:ind w:left="708" w:hanging="708"/>
        <w:jc w:val="both"/>
        <w:rPr>
          <w:rFonts w:ascii="David" w:hAnsi="David"/>
          <w:rtl/>
        </w:rPr>
      </w:pPr>
      <w:bookmarkStart w:id="0" w:name="NGCSBookmark"/>
      <w:bookmarkEnd w:id="0"/>
      <w:r>
        <w:rPr>
          <w:rFonts w:ascii="David" w:hAnsi="David"/>
          <w:rtl/>
        </w:rPr>
        <w:t>1.</w:t>
      </w:r>
      <w:r>
        <w:rPr>
          <w:rFonts w:ascii="David" w:hAnsi="David"/>
          <w:rtl/>
        </w:rPr>
        <w:tab/>
        <w:t xml:space="preserve">בפנינו בקשת המבקש לביטול פסק הדין שניתן על ידינו ביום 16.5.23 לפי סעיף 79א לחוק בתי המשפט, התשמ"ד-1984 (להלן: </w:t>
      </w:r>
      <w:r>
        <w:rPr>
          <w:rFonts w:ascii="David" w:hAnsi="David"/>
          <w:b/>
          <w:bCs/>
          <w:rtl/>
        </w:rPr>
        <w:t>"סעיף 79א"</w:t>
      </w:r>
      <w:r>
        <w:rPr>
          <w:rFonts w:ascii="David" w:hAnsi="David"/>
          <w:rtl/>
        </w:rPr>
        <w:t>) לאחר שמיעת הצדדים בדיון בערעור מיום 15.5.23 (להלן: "</w:t>
      </w:r>
      <w:r>
        <w:rPr>
          <w:rFonts w:ascii="David" w:hAnsi="David"/>
          <w:b/>
          <w:bCs/>
          <w:rtl/>
        </w:rPr>
        <w:t>הדיון</w:t>
      </w:r>
      <w:r>
        <w:rPr>
          <w:rFonts w:ascii="David" w:hAnsi="David"/>
          <w:rtl/>
        </w:rPr>
        <w:t>"), לרבות הכתבת הסכמותיהם לפרוטוקול הדיון, שניתנו לאחר קיום דיון לא פורמלי בהסכמת הצדדים והפסקת התייעצות, כפי שיפורט להלן.</w:t>
      </w:r>
    </w:p>
    <w:p w:rsidR="00B61677" w:rsidRDefault="00B61677" w:rsidP="00B61677">
      <w:pPr>
        <w:spacing w:after="120" w:line="360" w:lineRule="auto"/>
        <w:ind w:left="708" w:hanging="708"/>
        <w:jc w:val="both"/>
        <w:rPr>
          <w:rFonts w:ascii="David" w:hAnsi="David"/>
          <w:rtl/>
        </w:rPr>
      </w:pPr>
    </w:p>
    <w:p w:rsidR="00B61677" w:rsidRDefault="00B61677" w:rsidP="00B61677">
      <w:pPr>
        <w:spacing w:after="120" w:line="360" w:lineRule="auto"/>
        <w:ind w:left="708" w:hanging="708"/>
        <w:jc w:val="both"/>
        <w:rPr>
          <w:rFonts w:ascii="David" w:hAnsi="David"/>
          <w:b/>
          <w:bCs/>
          <w:u w:val="single"/>
          <w:rtl/>
        </w:rPr>
      </w:pPr>
      <w:r>
        <w:rPr>
          <w:rFonts w:ascii="David" w:hAnsi="David"/>
          <w:b/>
          <w:bCs/>
          <w:u w:val="single"/>
          <w:rtl/>
        </w:rPr>
        <w:t>רקע וטענות הצדדים</w:t>
      </w:r>
    </w:p>
    <w:p w:rsidR="00B61677" w:rsidRDefault="00B61677" w:rsidP="00B61677">
      <w:pPr>
        <w:spacing w:after="120" w:line="360" w:lineRule="auto"/>
        <w:ind w:left="708" w:hanging="708"/>
        <w:jc w:val="both"/>
        <w:rPr>
          <w:rFonts w:ascii="David" w:hAnsi="David"/>
          <w:rtl/>
        </w:rPr>
      </w:pPr>
      <w:r>
        <w:rPr>
          <w:rFonts w:ascii="David" w:hAnsi="David"/>
          <w:rtl/>
        </w:rPr>
        <w:t>2.</w:t>
      </w:r>
      <w:r>
        <w:rPr>
          <w:rFonts w:ascii="David" w:hAnsi="David"/>
          <w:rtl/>
        </w:rPr>
        <w:tab/>
        <w:t xml:space="preserve">בתיק זה הוגש ערעור על פסק דינו של בית המשפט לענייני משפחה בקריות (כב' השופטת שירי היימן), בתיק תמ"ש 44995-02-18, מיום 19.12.22. במוקד הערעור שהגיש המערער (הוא המשיב בבקשה זו) קיים סכסוך משפחתי ארוך שנים ורב הליכים משפטיים, שמקורו בירושת אביו המנוח של המשיב (המבקש בבקשה דנן). </w:t>
      </w:r>
    </w:p>
    <w:p w:rsidR="00B61677" w:rsidRDefault="00B61677" w:rsidP="00B61677">
      <w:pPr>
        <w:spacing w:after="120" w:line="360" w:lineRule="auto"/>
        <w:ind w:left="708" w:hanging="708"/>
        <w:jc w:val="both"/>
        <w:rPr>
          <w:rFonts w:ascii="David" w:hAnsi="David"/>
          <w:rtl/>
        </w:rPr>
      </w:pPr>
      <w:r>
        <w:rPr>
          <w:rFonts w:ascii="David" w:hAnsi="David"/>
          <w:rtl/>
        </w:rPr>
        <w:tab/>
        <w:t>למען הנוחות, בהחלטה זו המערער/המשיב בבקשה ייקרא "</w:t>
      </w:r>
      <w:r>
        <w:rPr>
          <w:rFonts w:ascii="David" w:hAnsi="David"/>
          <w:b/>
          <w:bCs/>
          <w:rtl/>
        </w:rPr>
        <w:t>הבן</w:t>
      </w:r>
      <w:r>
        <w:rPr>
          <w:rFonts w:ascii="David" w:hAnsi="David"/>
          <w:rtl/>
        </w:rPr>
        <w:t>" והמשיב בערעור/המבקש בבקשה ייקרא "</w:t>
      </w:r>
      <w:r>
        <w:rPr>
          <w:rFonts w:ascii="David" w:hAnsi="David"/>
          <w:b/>
          <w:bCs/>
          <w:rtl/>
        </w:rPr>
        <w:t>האב</w:t>
      </w:r>
      <w:r>
        <w:rPr>
          <w:rFonts w:ascii="David" w:hAnsi="David"/>
          <w:rtl/>
        </w:rPr>
        <w:t>".</w:t>
      </w:r>
    </w:p>
    <w:p w:rsidR="00B61677" w:rsidRDefault="00B61677" w:rsidP="00B61677">
      <w:pPr>
        <w:spacing w:after="120" w:line="360" w:lineRule="auto"/>
        <w:ind w:left="708" w:hanging="708"/>
        <w:jc w:val="both"/>
        <w:rPr>
          <w:rFonts w:ascii="David" w:hAnsi="David"/>
          <w:rtl/>
        </w:rPr>
      </w:pPr>
      <w:r>
        <w:rPr>
          <w:rFonts w:ascii="David" w:hAnsi="David"/>
          <w:rtl/>
        </w:rPr>
        <w:t>3.</w:t>
      </w:r>
      <w:r>
        <w:rPr>
          <w:rFonts w:ascii="David" w:hAnsi="David"/>
          <w:rtl/>
        </w:rPr>
        <w:tab/>
        <w:t>הערעור דנן עסק בפסק הדין קמא, אשר קבע כי לאב קיימות זכויות במקרקעין המריבה בשיעור של 50%. במסגרת הערעור, ביקש הבן לקבוע כי שיעור זכויותיו של האב יעמוד על שמינית בלבד.</w:t>
      </w:r>
    </w:p>
    <w:p w:rsidR="0092693B" w:rsidRDefault="0092693B" w:rsidP="00B61677">
      <w:pPr>
        <w:spacing w:after="120" w:line="360" w:lineRule="auto"/>
        <w:ind w:left="708" w:hanging="708"/>
        <w:jc w:val="both"/>
        <w:rPr>
          <w:rFonts w:ascii="David" w:hAnsi="David"/>
          <w:rtl/>
        </w:rPr>
      </w:pPr>
    </w:p>
    <w:p w:rsidR="0092693B" w:rsidRDefault="0092693B" w:rsidP="00B61677">
      <w:pPr>
        <w:spacing w:after="120" w:line="360" w:lineRule="auto"/>
        <w:ind w:left="708" w:hanging="708"/>
        <w:jc w:val="both"/>
        <w:rPr>
          <w:rFonts w:ascii="David" w:hAnsi="David"/>
          <w:rtl/>
        </w:rPr>
      </w:pPr>
    </w:p>
    <w:p w:rsidR="00B61677" w:rsidRDefault="00B61677" w:rsidP="00B61677">
      <w:pPr>
        <w:spacing w:after="120" w:line="360" w:lineRule="auto"/>
        <w:ind w:left="708" w:hanging="708"/>
        <w:jc w:val="both"/>
        <w:rPr>
          <w:rFonts w:ascii="David" w:hAnsi="David"/>
          <w:rtl/>
        </w:rPr>
      </w:pPr>
      <w:r>
        <w:rPr>
          <w:rFonts w:ascii="David" w:hAnsi="David"/>
          <w:rtl/>
        </w:rPr>
        <w:lastRenderedPageBreak/>
        <w:t>4.</w:t>
      </w:r>
      <w:r>
        <w:rPr>
          <w:rFonts w:ascii="David" w:hAnsi="David"/>
          <w:rtl/>
        </w:rPr>
        <w:tab/>
      </w:r>
      <w:r>
        <w:rPr>
          <w:rFonts w:ascii="David" w:hAnsi="David"/>
          <w:u w:val="single"/>
          <w:rtl/>
        </w:rPr>
        <w:t xml:space="preserve">בדיון מיום 15.5.2023 הגיעו הצדדים לידי הסכמות, שקיבלו תוקף של החלטה (להלן: </w:t>
      </w:r>
      <w:r>
        <w:rPr>
          <w:rFonts w:ascii="David" w:hAnsi="David"/>
          <w:b/>
          <w:bCs/>
          <w:u w:val="single"/>
          <w:rtl/>
        </w:rPr>
        <w:t>"ההסכמות"</w:t>
      </w:r>
      <w:r>
        <w:rPr>
          <w:rFonts w:ascii="David" w:hAnsi="David"/>
          <w:u w:val="single"/>
          <w:rtl/>
        </w:rPr>
        <w:t>) כדלקמן</w:t>
      </w:r>
      <w:r>
        <w:rPr>
          <w:rFonts w:ascii="David" w:hAnsi="David"/>
          <w:rtl/>
        </w:rPr>
        <w:t>:</w:t>
      </w:r>
    </w:p>
    <w:p w:rsidR="00B61677" w:rsidRDefault="00B61677" w:rsidP="00793187">
      <w:pPr>
        <w:spacing w:after="120" w:line="360" w:lineRule="auto"/>
        <w:ind w:left="1133" w:right="567"/>
        <w:jc w:val="both"/>
        <w:rPr>
          <w:rFonts w:ascii="David" w:hAnsi="David"/>
          <w:b/>
          <w:bCs/>
        </w:rPr>
      </w:pPr>
      <w:r>
        <w:rPr>
          <w:rFonts w:ascii="David" w:hAnsi="David"/>
          <w:b/>
          <w:bCs/>
          <w:rtl/>
        </w:rPr>
        <w:t xml:space="preserve">"פסק דינו של בית המשפט קמא ישאר על כנו במובן שזכותו הקניינית של המשיב בחלקה נשוא המחלוקת מקבלת גושפנקא של ערכאת הערעור. </w:t>
      </w:r>
    </w:p>
    <w:p w:rsidR="00B61677" w:rsidRDefault="00B61677" w:rsidP="00793187">
      <w:pPr>
        <w:spacing w:after="120" w:line="360" w:lineRule="auto"/>
        <w:ind w:left="1133" w:right="567"/>
        <w:jc w:val="both"/>
        <w:rPr>
          <w:rFonts w:ascii="David" w:hAnsi="David"/>
          <w:b/>
          <w:bCs/>
          <w:rtl/>
        </w:rPr>
      </w:pPr>
      <w:r>
        <w:rPr>
          <w:rFonts w:ascii="David" w:hAnsi="David"/>
          <w:b/>
          <w:bCs/>
          <w:rtl/>
        </w:rPr>
        <w:t>יחד עם זאת, כדי לחסוך בהתדיינויות נוספות בין הצדדים מוסכם כי למערער ניתנת זכות ראשונים לרכוש את חלקו של המשיב במקרקעין והמשיב מסכים למכירת חלקו למערער כבר עתה.</w:t>
      </w:r>
    </w:p>
    <w:p w:rsidR="00B61677" w:rsidRDefault="00B61677" w:rsidP="00793187">
      <w:pPr>
        <w:spacing w:after="120" w:line="360" w:lineRule="auto"/>
        <w:ind w:left="1133" w:right="567"/>
        <w:jc w:val="both"/>
        <w:rPr>
          <w:rFonts w:ascii="David" w:hAnsi="David"/>
          <w:b/>
          <w:bCs/>
          <w:rtl/>
        </w:rPr>
      </w:pPr>
      <w:r>
        <w:rPr>
          <w:rFonts w:ascii="David" w:hAnsi="David"/>
          <w:b/>
          <w:bCs/>
          <w:rtl/>
        </w:rPr>
        <w:t xml:space="preserve">מוסכם כי קביעת שווי זכותו של המשיב תעשה על ידי בית המשפט במסגרת סעיף 79א' על יסוד החומר שבפניו, לרבות חוות הדעת ושיקול דעתו של בית המשפט להתחשב במכלול הנסיבות ועליית מחירי הנדל"ן. </w:t>
      </w:r>
    </w:p>
    <w:p w:rsidR="00B61677" w:rsidRDefault="00B61677" w:rsidP="00793187">
      <w:pPr>
        <w:spacing w:after="120" w:line="360" w:lineRule="auto"/>
        <w:ind w:left="1133" w:right="567"/>
        <w:jc w:val="both"/>
        <w:rPr>
          <w:rFonts w:ascii="David" w:hAnsi="David"/>
          <w:b/>
          <w:bCs/>
          <w:rtl/>
        </w:rPr>
      </w:pPr>
      <w:r>
        <w:rPr>
          <w:rFonts w:ascii="David" w:hAnsi="David"/>
          <w:b/>
          <w:bCs/>
          <w:rtl/>
        </w:rPr>
        <w:t xml:space="preserve">מוסכם כי המערער ירכוש את חלקו של המשיב בחלקה וישלם את התמורה תוך 30 ימים מיום מתן פסק דין בבית משפט זה. </w:t>
      </w:r>
    </w:p>
    <w:p w:rsidR="00B61677" w:rsidRDefault="00B61677" w:rsidP="00793187">
      <w:pPr>
        <w:spacing w:after="120" w:line="360" w:lineRule="auto"/>
        <w:ind w:left="1133" w:right="567"/>
        <w:jc w:val="both"/>
        <w:rPr>
          <w:rFonts w:ascii="David" w:hAnsi="David"/>
          <w:b/>
          <w:bCs/>
          <w:rtl/>
        </w:rPr>
      </w:pPr>
      <w:r>
        <w:rPr>
          <w:rFonts w:ascii="David" w:hAnsi="David"/>
          <w:b/>
          <w:bCs/>
          <w:rtl/>
        </w:rPr>
        <w:t xml:space="preserve">ככל שהמערער לא יעמוד בתשלום במועד זה, תהיה למשיב הזכות לרכוש את חלקו של המערער במקרקעין, במחיר שבית המשפט יקבע. </w:t>
      </w:r>
    </w:p>
    <w:p w:rsidR="00B61677" w:rsidRDefault="00B61677" w:rsidP="00793187">
      <w:pPr>
        <w:spacing w:after="120" w:line="360" w:lineRule="auto"/>
        <w:ind w:left="1133" w:right="567"/>
        <w:jc w:val="both"/>
        <w:rPr>
          <w:rFonts w:ascii="David" w:hAnsi="David"/>
          <w:b/>
          <w:bCs/>
          <w:rtl/>
        </w:rPr>
      </w:pPr>
      <w:r>
        <w:rPr>
          <w:rFonts w:ascii="David" w:hAnsi="David"/>
          <w:b/>
          <w:bCs/>
          <w:rtl/>
        </w:rPr>
        <w:t xml:space="preserve">ככל שגם המערער לא ישלם את סכום הרכישה תוך 30 ימים, החלקה תעמוד למכירה לכל המרבה במחיר. </w:t>
      </w:r>
    </w:p>
    <w:p w:rsidR="00B61677" w:rsidRDefault="00B61677" w:rsidP="00793187">
      <w:pPr>
        <w:spacing w:after="120" w:line="360" w:lineRule="auto"/>
        <w:ind w:left="1133" w:right="567"/>
        <w:jc w:val="both"/>
        <w:rPr>
          <w:rFonts w:ascii="David" w:hAnsi="David"/>
          <w:b/>
          <w:bCs/>
          <w:rtl/>
        </w:rPr>
      </w:pPr>
      <w:r>
        <w:rPr>
          <w:rFonts w:ascii="David" w:hAnsi="David"/>
          <w:b/>
          <w:bCs/>
          <w:rtl/>
        </w:rPr>
        <w:t>תשלומי המס של המכירה האמורה יהיו בהתאם להוראות הדין.</w:t>
      </w:r>
    </w:p>
    <w:p w:rsidR="00B61677" w:rsidRDefault="00B61677" w:rsidP="00793187">
      <w:pPr>
        <w:spacing w:after="120" w:line="360" w:lineRule="auto"/>
        <w:ind w:left="1133" w:right="567"/>
        <w:jc w:val="both"/>
        <w:rPr>
          <w:rFonts w:ascii="David" w:hAnsi="David"/>
          <w:b/>
          <w:bCs/>
          <w:rtl/>
        </w:rPr>
      </w:pPr>
      <w:r>
        <w:rPr>
          <w:rFonts w:ascii="David" w:hAnsi="David"/>
          <w:b/>
          <w:bCs/>
          <w:rtl/>
        </w:rPr>
        <w:t xml:space="preserve">כל צד ישא בהוצאותיו. </w:t>
      </w:r>
    </w:p>
    <w:p w:rsidR="00B61677" w:rsidRDefault="00B61677" w:rsidP="00793187">
      <w:pPr>
        <w:spacing w:after="120" w:line="360" w:lineRule="auto"/>
        <w:ind w:left="1133" w:right="567"/>
        <w:jc w:val="both"/>
        <w:rPr>
          <w:rFonts w:ascii="David" w:hAnsi="David"/>
          <w:rtl/>
        </w:rPr>
      </w:pPr>
      <w:r>
        <w:rPr>
          <w:rFonts w:ascii="David" w:hAnsi="David"/>
          <w:b/>
          <w:bCs/>
          <w:rtl/>
        </w:rPr>
        <w:t>העירבון שהפקיד המערער יוחזר לידיו באמצעות בא-כוחו"</w:t>
      </w:r>
      <w:r>
        <w:rPr>
          <w:rFonts w:ascii="David" w:hAnsi="David"/>
          <w:rtl/>
        </w:rPr>
        <w:t>.</w:t>
      </w:r>
    </w:p>
    <w:p w:rsidR="00B61677" w:rsidRDefault="00B61677" w:rsidP="00B61677">
      <w:pPr>
        <w:spacing w:after="120" w:line="360" w:lineRule="auto"/>
        <w:ind w:left="720" w:hanging="720"/>
        <w:jc w:val="both"/>
        <w:rPr>
          <w:rFonts w:ascii="David" w:hAnsi="David"/>
          <w:rtl/>
        </w:rPr>
      </w:pPr>
      <w:r>
        <w:rPr>
          <w:rFonts w:ascii="David" w:hAnsi="David"/>
          <w:rtl/>
        </w:rPr>
        <w:t>5.</w:t>
      </w:r>
      <w:r>
        <w:rPr>
          <w:rFonts w:ascii="David" w:hAnsi="David"/>
          <w:rtl/>
        </w:rPr>
        <w:tab/>
      </w:r>
      <w:r>
        <w:rPr>
          <w:rFonts w:ascii="David" w:hAnsi="David"/>
          <w:u w:val="single"/>
          <w:rtl/>
        </w:rPr>
        <w:t>בפסק הדין שניתן על ידינו ביום 16.5.23 על פי סעיף 79א, קבענו כהאי לישנא</w:t>
      </w:r>
      <w:r>
        <w:rPr>
          <w:rFonts w:ascii="David" w:hAnsi="David"/>
          <w:rtl/>
        </w:rPr>
        <w:t>:</w:t>
      </w:r>
    </w:p>
    <w:p w:rsidR="00B61677" w:rsidRDefault="00B61677" w:rsidP="00793187">
      <w:pPr>
        <w:spacing w:after="120" w:line="360" w:lineRule="auto"/>
        <w:ind w:left="1133" w:right="567"/>
        <w:jc w:val="both"/>
        <w:rPr>
          <w:rFonts w:ascii="David" w:hAnsi="David"/>
          <w:b/>
          <w:bCs/>
          <w:rtl/>
        </w:rPr>
      </w:pPr>
      <w:r>
        <w:rPr>
          <w:rFonts w:ascii="David" w:hAnsi="David"/>
          <w:b/>
          <w:bCs/>
          <w:rtl/>
        </w:rPr>
        <w:t xml:space="preserve">"לאחר שעיינו בכל החומר שעמד לפנינו, ובהתאם להסכמות וסמכותנו לפי סעיף 79א לחוק בתי המשפט התשמ"ד-1984, אנו קובעים שהמערער ירכוש את חלקו של המשיב בחלקה נשוא פסק הדין קמא, בסכום של 225,000 ₪, אשר ישולמו למשיב תוך 30 ימים מהיום. </w:t>
      </w:r>
    </w:p>
    <w:p w:rsidR="00B61677" w:rsidRDefault="00B61677" w:rsidP="00793187">
      <w:pPr>
        <w:spacing w:after="120" w:line="360" w:lineRule="auto"/>
        <w:ind w:left="1133" w:right="567"/>
        <w:jc w:val="both"/>
        <w:rPr>
          <w:rFonts w:ascii="David" w:hAnsi="David"/>
          <w:b/>
          <w:bCs/>
          <w:rtl/>
        </w:rPr>
      </w:pPr>
      <w:r>
        <w:rPr>
          <w:rFonts w:ascii="David" w:hAnsi="David"/>
          <w:b/>
          <w:bCs/>
          <w:rtl/>
        </w:rPr>
        <w:t>לאחר תשלום התמורה ידווחו הצדדים על העסקה לרשויות המס, ויפעלו בהתאם להסכמות כי תשלומי המס של המכירה הנדונה יהיו בהתאם להוראות הדין.</w:t>
      </w:r>
    </w:p>
    <w:p w:rsidR="00B61677" w:rsidRDefault="00B61677" w:rsidP="00793187">
      <w:pPr>
        <w:spacing w:after="120" w:line="360" w:lineRule="auto"/>
        <w:ind w:left="1133" w:right="567"/>
        <w:jc w:val="both"/>
        <w:rPr>
          <w:rFonts w:ascii="David" w:hAnsi="David"/>
          <w:b/>
          <w:bCs/>
          <w:rtl/>
        </w:rPr>
      </w:pPr>
      <w:r>
        <w:rPr>
          <w:rFonts w:ascii="David" w:hAnsi="David"/>
          <w:b/>
          <w:bCs/>
          <w:rtl/>
        </w:rPr>
        <w:t>ככל שהמערער לא יעמוד בתנאי הרכישה דלעיל, יודיעו על ב"כ הצדדים, או מי מהם, לבית משפט זה, ויינתן פסק דין משלים בהתאם להסכמות.</w:t>
      </w:r>
    </w:p>
    <w:p w:rsidR="00B61677" w:rsidRDefault="00B61677" w:rsidP="00793187">
      <w:pPr>
        <w:spacing w:after="120" w:line="360" w:lineRule="auto"/>
        <w:ind w:left="1133" w:right="567"/>
        <w:jc w:val="both"/>
        <w:rPr>
          <w:rFonts w:ascii="David" w:hAnsi="David"/>
          <w:b/>
          <w:bCs/>
          <w:rtl/>
        </w:rPr>
      </w:pPr>
      <w:r>
        <w:rPr>
          <w:rFonts w:ascii="David" w:hAnsi="David"/>
          <w:b/>
          <w:bCs/>
          <w:rtl/>
        </w:rPr>
        <w:t xml:space="preserve">הערבון שהופקד יוחזר לידי המערער באמצעות בא כוחו". </w:t>
      </w:r>
    </w:p>
    <w:p w:rsidR="00B61677" w:rsidRDefault="00B61677" w:rsidP="00B61677">
      <w:pPr>
        <w:spacing w:after="120" w:line="360" w:lineRule="auto"/>
        <w:ind w:left="708" w:hanging="708"/>
        <w:jc w:val="both"/>
        <w:rPr>
          <w:rFonts w:ascii="David" w:hAnsi="David"/>
          <w:rtl/>
        </w:rPr>
      </w:pPr>
      <w:r>
        <w:rPr>
          <w:rFonts w:ascii="David" w:hAnsi="David"/>
          <w:rtl/>
        </w:rPr>
        <w:lastRenderedPageBreak/>
        <w:t>6.</w:t>
      </w:r>
      <w:r>
        <w:rPr>
          <w:rFonts w:ascii="David" w:hAnsi="David"/>
          <w:rtl/>
        </w:rPr>
        <w:tab/>
      </w:r>
      <w:r>
        <w:rPr>
          <w:rFonts w:ascii="David" w:hAnsi="David"/>
          <w:u w:val="single"/>
          <w:rtl/>
        </w:rPr>
        <w:t>ביום 31.5.23 הודיע האב על נטילת ייצוג חדש, וביום 15.6.23 הגיש האב את הבקשה שלפנינו, במסגרתה טען כדלקמן</w:t>
      </w:r>
      <w:r>
        <w:rPr>
          <w:rFonts w:ascii="David" w:hAnsi="David"/>
          <w:rtl/>
        </w:rPr>
        <w:t>:</w:t>
      </w:r>
    </w:p>
    <w:p w:rsidR="00B61677" w:rsidRDefault="00B61677" w:rsidP="00B61677">
      <w:pPr>
        <w:tabs>
          <w:tab w:val="left" w:pos="708"/>
        </w:tabs>
        <w:spacing w:after="120" w:line="360" w:lineRule="auto"/>
        <w:ind w:left="1417" w:hanging="709"/>
        <w:jc w:val="both"/>
        <w:rPr>
          <w:rFonts w:ascii="David" w:hAnsi="David"/>
          <w:rtl/>
        </w:rPr>
      </w:pPr>
      <w:r>
        <w:rPr>
          <w:rFonts w:ascii="David" w:hAnsi="David"/>
          <w:rtl/>
        </w:rPr>
        <w:t>א.</w:t>
      </w:r>
      <w:r>
        <w:rPr>
          <w:rFonts w:ascii="David" w:hAnsi="David"/>
          <w:rtl/>
        </w:rPr>
        <w:tab/>
        <w:t>הוא יליד שנת 1936, איננו דובר את השפה העברית והיה נוכח באולם בעת קיום הדיון בליווי בא כוחו (ד</w:t>
      </w:r>
      <w:r w:rsidR="00AA657E">
        <w:rPr>
          <w:rFonts w:ascii="David" w:hAnsi="David"/>
          <w:rtl/>
        </w:rPr>
        <w:t>אז) ורופאו האישי, ד"ר ג'</w:t>
      </w:r>
      <w:r>
        <w:rPr>
          <w:rFonts w:ascii="David" w:hAnsi="David"/>
          <w:rtl/>
        </w:rPr>
        <w:t xml:space="preserve"> (להלן: "</w:t>
      </w:r>
      <w:r w:rsidR="00AA657E">
        <w:rPr>
          <w:rFonts w:ascii="David" w:hAnsi="David"/>
          <w:b/>
          <w:bCs/>
          <w:rtl/>
        </w:rPr>
        <w:t>ג'</w:t>
      </w:r>
      <w:r>
        <w:rPr>
          <w:rFonts w:ascii="David" w:hAnsi="David"/>
          <w:rtl/>
        </w:rPr>
        <w:t>"). הוא לא נשאל כלל על ידי בית המשפט ו/או על ידי מי מבאי כוח הצדדים, לרבות בא כוחו שלו, באם הוא מודע למה שנאמר בדיון הלא פורמלי שנערך באולם, ו/או  תוכן הצהרת באי כוח הצדדים על ההסכמות אליהן הגיעו.</w:t>
      </w:r>
    </w:p>
    <w:p w:rsidR="00B61677" w:rsidRDefault="00B61677" w:rsidP="00AA657E">
      <w:pPr>
        <w:tabs>
          <w:tab w:val="left" w:pos="708"/>
        </w:tabs>
        <w:spacing w:after="120" w:line="360" w:lineRule="auto"/>
        <w:ind w:left="1417" w:hanging="709"/>
        <w:jc w:val="both"/>
        <w:rPr>
          <w:rFonts w:ascii="David" w:hAnsi="David"/>
          <w:rtl/>
        </w:rPr>
      </w:pPr>
      <w:r>
        <w:rPr>
          <w:rFonts w:ascii="David" w:hAnsi="David"/>
          <w:rtl/>
        </w:rPr>
        <w:t>ב.</w:t>
      </w:r>
      <w:r>
        <w:rPr>
          <w:rFonts w:ascii="David" w:hAnsi="David"/>
          <w:rtl/>
        </w:rPr>
        <w:tab/>
        <w:t xml:space="preserve">נודע לו לראשונה על פסק דינו של בית משפט זה כאשר הבן פרסם את תכנו ברבים בכפר </w:t>
      </w:r>
      <w:r w:rsidR="00AA657E">
        <w:rPr>
          <w:rFonts w:ascii="David" w:hAnsi="David" w:hint="cs"/>
          <w:rtl/>
        </w:rPr>
        <w:t>מגוריו</w:t>
      </w:r>
      <w:r>
        <w:rPr>
          <w:rFonts w:ascii="David" w:hAnsi="David"/>
          <w:rtl/>
        </w:rPr>
        <w:t>, ולאחר מכן קיבל מכתב מבא כוחו של בנו, בצירוף המחאה בנקאית ע"ס 191,250 ₪ בניכוי 33,750 ₪ עבור מס שבח (להלן: "</w:t>
      </w:r>
      <w:r>
        <w:rPr>
          <w:rFonts w:ascii="David" w:hAnsi="David"/>
          <w:b/>
          <w:bCs/>
          <w:rtl/>
        </w:rPr>
        <w:t>ההמחאה</w:t>
      </w:r>
      <w:r>
        <w:rPr>
          <w:rFonts w:ascii="David" w:hAnsi="David"/>
          <w:rtl/>
        </w:rPr>
        <w:t xml:space="preserve">"). הוא לא פרע את ההמחאה ואיננו מתכוון להפקידה לצורך פירעונה, אלא הודיע לבא כוחו של בנו על החזרת ההמחאה ללא פירעונה. </w:t>
      </w:r>
    </w:p>
    <w:p w:rsidR="00B61677" w:rsidRDefault="00B61677" w:rsidP="00B61677">
      <w:pPr>
        <w:tabs>
          <w:tab w:val="left" w:pos="708"/>
        </w:tabs>
        <w:spacing w:after="120" w:line="360" w:lineRule="auto"/>
        <w:ind w:left="1417" w:hanging="709"/>
        <w:jc w:val="both"/>
        <w:rPr>
          <w:rFonts w:ascii="David" w:hAnsi="David"/>
          <w:rtl/>
        </w:rPr>
      </w:pPr>
      <w:r>
        <w:rPr>
          <w:rFonts w:ascii="David" w:hAnsi="David"/>
          <w:rtl/>
        </w:rPr>
        <w:t>ג.</w:t>
      </w:r>
      <w:r>
        <w:rPr>
          <w:rFonts w:ascii="David" w:hAnsi="David"/>
          <w:rtl/>
        </w:rPr>
        <w:tab/>
        <w:t xml:space="preserve">הוא עומד על כך כי אינו מעוניין למכור את זכויותיו הקנייניות שירש מהוריו, במיוחד שהבית בעל ערך היסטורי ואישי שהוא לא יכול לבטלו על ידי מכירה לבנו, אשר משפיל ומבזה אותו קבל עם ועדה. </w:t>
      </w:r>
    </w:p>
    <w:p w:rsidR="00B61677" w:rsidRDefault="00B61677" w:rsidP="00B61677">
      <w:pPr>
        <w:tabs>
          <w:tab w:val="left" w:pos="708"/>
        </w:tabs>
        <w:spacing w:after="120" w:line="360" w:lineRule="auto"/>
        <w:ind w:left="1417" w:hanging="709"/>
        <w:jc w:val="both"/>
        <w:rPr>
          <w:rFonts w:ascii="David" w:hAnsi="David"/>
          <w:rtl/>
        </w:rPr>
      </w:pPr>
      <w:r>
        <w:rPr>
          <w:rFonts w:ascii="David" w:hAnsi="David"/>
          <w:rtl/>
        </w:rPr>
        <w:t>ד.</w:t>
      </w:r>
      <w:r>
        <w:rPr>
          <w:rFonts w:ascii="David" w:hAnsi="David"/>
          <w:rtl/>
        </w:rPr>
        <w:tab/>
        <w:t>הוא לא היה מודע להסכמות שהתקיימו בין באי כוח הצדדים בדיון, ולא הוסברו לו ולא תורגמו לו דברי הצדדים במהלך הדיון שהתקיים מחוץ לפרוטוקול; אף לאחר שיצאו הצדדים מאולם בית המשפט לצורך הגעה להסכמות, לא התבקש להביע הסכמתו ולאשר מכירת הזכויות הקנייניות שלו לבנו.</w:t>
      </w:r>
    </w:p>
    <w:p w:rsidR="00B61677" w:rsidRDefault="00B61677" w:rsidP="00B61677">
      <w:pPr>
        <w:tabs>
          <w:tab w:val="left" w:pos="708"/>
        </w:tabs>
        <w:spacing w:after="120" w:line="360" w:lineRule="auto"/>
        <w:ind w:left="1417" w:hanging="709"/>
        <w:jc w:val="both"/>
        <w:rPr>
          <w:rFonts w:ascii="David" w:hAnsi="David"/>
          <w:rtl/>
        </w:rPr>
      </w:pPr>
      <w:r>
        <w:rPr>
          <w:rFonts w:ascii="David" w:hAnsi="David"/>
          <w:rtl/>
        </w:rPr>
        <w:t>ה.</w:t>
      </w:r>
      <w:r>
        <w:rPr>
          <w:rFonts w:ascii="David" w:hAnsi="David"/>
          <w:rtl/>
        </w:rPr>
        <w:tab/>
        <w:t>הוא לא חתם על מסמך כלשהו שהוא מסכים להותיר לבית המשפט את הסמכות לפעול לפי סעיף 79א לחוק בתי המשפט [נוסח משולב], התשמ"ד-1984 (להלן: "</w:t>
      </w:r>
      <w:r>
        <w:rPr>
          <w:rFonts w:ascii="David" w:hAnsi="David"/>
          <w:b/>
          <w:bCs/>
          <w:rtl/>
        </w:rPr>
        <w:t>חוק בתי המשפט</w:t>
      </w:r>
      <w:r>
        <w:rPr>
          <w:rFonts w:ascii="David" w:hAnsi="David"/>
          <w:rtl/>
        </w:rPr>
        <w:t>") ולא נדרש ליתן את הסכמתו לכך, הן על ידי בא כוחו והן על ידי בית המשפט, בניגוד לאמור בפרוטוקול הדיון.</w:t>
      </w:r>
    </w:p>
    <w:p w:rsidR="00B61677" w:rsidRDefault="00B61677" w:rsidP="00B61677">
      <w:pPr>
        <w:tabs>
          <w:tab w:val="left" w:pos="708"/>
        </w:tabs>
        <w:spacing w:after="120" w:line="360" w:lineRule="auto"/>
        <w:ind w:left="1417" w:hanging="709"/>
        <w:jc w:val="both"/>
        <w:rPr>
          <w:rFonts w:ascii="David" w:hAnsi="David"/>
          <w:rtl/>
        </w:rPr>
      </w:pPr>
      <w:r>
        <w:rPr>
          <w:rFonts w:ascii="David" w:hAnsi="David"/>
          <w:rtl/>
        </w:rPr>
        <w:t>ו.</w:t>
      </w:r>
      <w:r>
        <w:rPr>
          <w:rFonts w:ascii="David" w:hAnsi="David"/>
          <w:rtl/>
        </w:rPr>
        <w:tab/>
        <w:t>הוא נפגע קשות כאשר תורגמו לו פסק הדין ותוכן ההסכמות, על כן הפסיק את ייצוגו של בא כוחו הקודם ופנה כעת לבית המשפט בבקשה לביטול פסק הדין.</w:t>
      </w:r>
    </w:p>
    <w:p w:rsidR="00B61677" w:rsidRDefault="00B61677" w:rsidP="00B61677">
      <w:pPr>
        <w:tabs>
          <w:tab w:val="left" w:pos="708"/>
        </w:tabs>
        <w:spacing w:after="120" w:line="360" w:lineRule="auto"/>
        <w:ind w:left="1417" w:hanging="709"/>
        <w:jc w:val="both"/>
        <w:rPr>
          <w:rFonts w:ascii="David" w:hAnsi="David"/>
          <w:rtl/>
        </w:rPr>
      </w:pPr>
      <w:r>
        <w:rPr>
          <w:rFonts w:ascii="David" w:hAnsi="David"/>
          <w:rtl/>
        </w:rPr>
        <w:t xml:space="preserve"> ז.</w:t>
      </w:r>
      <w:r>
        <w:rPr>
          <w:rFonts w:ascii="David" w:hAnsi="David"/>
          <w:rtl/>
        </w:rPr>
        <w:tab/>
        <w:t xml:space="preserve">הוא עומד על מימוש זכויותיו הקנייניות כפי שימצא לנכון ולא דווקא למכור אותן לבנו, אשר מתעלל בו וחייב אותו לנקוט בהליכים משפטיים מאז חזר ארצה, כדי לחיות את שארית חייו בבית בו נולד, עם בני עדתו. </w:t>
      </w:r>
    </w:p>
    <w:p w:rsidR="00B61677" w:rsidRDefault="00B61677" w:rsidP="00B61677">
      <w:pPr>
        <w:tabs>
          <w:tab w:val="left" w:pos="708"/>
        </w:tabs>
        <w:spacing w:after="120" w:line="360" w:lineRule="auto"/>
        <w:ind w:left="1417" w:hanging="709"/>
        <w:jc w:val="both"/>
        <w:rPr>
          <w:rFonts w:ascii="David" w:hAnsi="David"/>
          <w:rtl/>
        </w:rPr>
      </w:pPr>
      <w:r>
        <w:rPr>
          <w:rFonts w:ascii="David" w:hAnsi="David"/>
          <w:rtl/>
        </w:rPr>
        <w:t>ח.</w:t>
      </w:r>
      <w:r>
        <w:rPr>
          <w:rFonts w:ascii="David" w:hAnsi="David"/>
          <w:rtl/>
        </w:rPr>
        <w:tab/>
        <w:t>טענותיו מופנות לחלק ההסכמי בפסק הדין, אשר טעות ביסודו בהיעדר הסכמת האב להצהרות באי כוח הצדדים נשוא פסק הדין. הוא לא היה שותף להסכמות ולא נתן ידו להצהרות הללו.</w:t>
      </w:r>
    </w:p>
    <w:p w:rsidR="00B61677" w:rsidRDefault="00B61677" w:rsidP="00B61677">
      <w:pPr>
        <w:tabs>
          <w:tab w:val="left" w:pos="708"/>
        </w:tabs>
        <w:spacing w:after="120" w:line="360" w:lineRule="auto"/>
        <w:ind w:left="709" w:hanging="709"/>
        <w:jc w:val="both"/>
        <w:rPr>
          <w:rFonts w:ascii="David" w:hAnsi="David"/>
          <w:rtl/>
        </w:rPr>
      </w:pPr>
      <w:r>
        <w:rPr>
          <w:rFonts w:ascii="David" w:hAnsi="David"/>
          <w:rtl/>
        </w:rPr>
        <w:lastRenderedPageBreak/>
        <w:t>7.</w:t>
      </w:r>
      <w:r>
        <w:rPr>
          <w:rFonts w:ascii="David" w:hAnsi="David"/>
          <w:rtl/>
        </w:rPr>
        <w:tab/>
      </w:r>
      <w:r>
        <w:rPr>
          <w:rFonts w:ascii="David" w:hAnsi="David"/>
          <w:u w:val="single"/>
          <w:rtl/>
        </w:rPr>
        <w:t>ביום 1.7.23 הגיש הבן את תגובתו לבקשת האב, ועיקריה כדלקמן</w:t>
      </w:r>
      <w:r>
        <w:rPr>
          <w:rFonts w:ascii="David" w:hAnsi="David"/>
          <w:rtl/>
        </w:rPr>
        <w:t>:</w:t>
      </w:r>
    </w:p>
    <w:p w:rsidR="00B61677" w:rsidRDefault="00B61677" w:rsidP="00B61677">
      <w:pPr>
        <w:spacing w:after="120" w:line="360" w:lineRule="auto"/>
        <w:ind w:left="1417" w:hanging="709"/>
        <w:jc w:val="both"/>
        <w:rPr>
          <w:rFonts w:ascii="David" w:hAnsi="David"/>
          <w:rtl/>
        </w:rPr>
      </w:pPr>
      <w:r>
        <w:rPr>
          <w:rFonts w:ascii="David" w:hAnsi="David"/>
          <w:rtl/>
        </w:rPr>
        <w:t>א.</w:t>
      </w:r>
      <w:r>
        <w:rPr>
          <w:rFonts w:ascii="David" w:hAnsi="David"/>
          <w:rtl/>
        </w:rPr>
        <w:tab/>
        <w:t>יש לדחות את הבקשה על הסף לאור עקרון "גמר המלאכה", לפיו עם מתן פסק הדין סיים בית המשפט את מלאכתו ואין הוא מוסמך עוד לפתוח את ההתדיינות מחדש אלא במסגרת מצומצמת לפי סעיף 81 לחוק בתי המשפט (תיקון טעות בפסק הדין).</w:t>
      </w:r>
    </w:p>
    <w:p w:rsidR="00B61677" w:rsidRDefault="00B61677" w:rsidP="00AA657E">
      <w:pPr>
        <w:spacing w:after="120" w:line="360" w:lineRule="auto"/>
        <w:ind w:left="1417" w:hanging="709"/>
        <w:jc w:val="both"/>
        <w:rPr>
          <w:rFonts w:ascii="David" w:hAnsi="David"/>
          <w:rtl/>
        </w:rPr>
      </w:pPr>
      <w:r>
        <w:rPr>
          <w:rFonts w:ascii="David" w:hAnsi="David"/>
          <w:rtl/>
        </w:rPr>
        <w:t>ב.</w:t>
      </w:r>
      <w:r>
        <w:rPr>
          <w:rFonts w:ascii="David" w:hAnsi="David"/>
          <w:rtl/>
        </w:rPr>
        <w:tab/>
        <w:t xml:space="preserve">יש לדחות את הבקשה בשל כך שלא נפלה שום טעות גם אליבא דהאב – עסקינן בבקשה שאיננה רלוונטית מאחר שהאב דיבר על מקרקעין אחרים שעניינם לא נדון כלל בבית משפט קמא ולא עמד בפני ערכאת הערעור. האב מניח כי מדובר במכר זכויותיו בבית הסב ז"ל, אולם מה שנדון בהליך זה הם מקרקעין אחרים בעוד עניינו של בית הסב ז"ל נדון בהליכים שתמו בפסק דין חלוט (ת"א (מח – חי) </w:t>
      </w:r>
      <w:r w:rsidR="00AA657E">
        <w:rPr>
          <w:rFonts w:ascii="David" w:hAnsi="David" w:hint="cs"/>
          <w:rtl/>
        </w:rPr>
        <w:t>0000</w:t>
      </w:r>
      <w:r>
        <w:rPr>
          <w:rFonts w:ascii="David" w:hAnsi="David"/>
          <w:rtl/>
        </w:rPr>
        <w:t xml:space="preserve">-12-16 ו- ע"א </w:t>
      </w:r>
      <w:r w:rsidR="00AA657E">
        <w:rPr>
          <w:rFonts w:ascii="David" w:hAnsi="David" w:hint="cs"/>
          <w:rtl/>
        </w:rPr>
        <w:t>0000</w:t>
      </w:r>
      <w:r>
        <w:rPr>
          <w:rFonts w:ascii="David" w:hAnsi="David"/>
          <w:rtl/>
        </w:rPr>
        <w:t xml:space="preserve">/19). </w:t>
      </w:r>
    </w:p>
    <w:p w:rsidR="00B61677" w:rsidRDefault="00B61677" w:rsidP="00B61677">
      <w:pPr>
        <w:spacing w:after="120" w:line="360" w:lineRule="auto"/>
        <w:ind w:left="1417" w:hanging="709"/>
        <w:jc w:val="both"/>
        <w:rPr>
          <w:rFonts w:ascii="David" w:hAnsi="David"/>
          <w:rtl/>
        </w:rPr>
      </w:pPr>
      <w:r>
        <w:rPr>
          <w:rFonts w:ascii="David" w:hAnsi="David"/>
          <w:rtl/>
        </w:rPr>
        <w:t>ג.</w:t>
      </w:r>
      <w:r>
        <w:rPr>
          <w:rFonts w:ascii="David" w:hAnsi="David"/>
          <w:rtl/>
        </w:rPr>
        <w:tab/>
        <w:t>יש לדחות את הבקשה אף בשל העלאת טענת כשל בייצוג, משלא צורף בא כוחו הקודם של האב, עו"ד שנאן, לבקשה. האב לא יכול להטיל רפש בעורך הדין שייצגו רק מאחר שתוצאת פסק הדין אינה לרוחו. בבקשה דנן נטענו טענות נגד עוה"ד שנאן ואף נגד בית משפט זה, כאילו עו"ד שנאן לא קיבל את הסכמת מרשו למתווה הפשרה שהוגש או לא הסביר לו את תוכן ההסכמות. טענות אלה יורדות ללב לבו של מקצוע עריכת הדין והנאמנות בה חב עו"ד ללקוחו. לא יעלה על הדעת כי טענות כה קשות תועלינה נגד עורך דין מבלי שתינתן לו הזדמנות להגיב.</w:t>
      </w:r>
    </w:p>
    <w:p w:rsidR="00B61677" w:rsidRDefault="00B61677" w:rsidP="00AA657E">
      <w:pPr>
        <w:spacing w:after="120" w:line="360" w:lineRule="auto"/>
        <w:ind w:left="1417" w:hanging="709"/>
        <w:jc w:val="both"/>
        <w:rPr>
          <w:rFonts w:ascii="David" w:hAnsi="David"/>
          <w:rtl/>
        </w:rPr>
      </w:pPr>
      <w:r>
        <w:rPr>
          <w:rFonts w:ascii="David" w:hAnsi="David"/>
          <w:rtl/>
        </w:rPr>
        <w:t>ד.</w:t>
      </w:r>
      <w:r>
        <w:rPr>
          <w:rFonts w:ascii="David" w:hAnsi="David"/>
          <w:rtl/>
        </w:rPr>
        <w:tab/>
        <w:t xml:space="preserve">יש לדחות את הבקשה אף לגופם של דברים. הדיון התקיים בנוכחות </w:t>
      </w:r>
      <w:r w:rsidR="00AA657E">
        <w:rPr>
          <w:rFonts w:ascii="David" w:hAnsi="David" w:hint="cs"/>
          <w:rtl/>
        </w:rPr>
        <w:t>ג'</w:t>
      </w:r>
      <w:r>
        <w:rPr>
          <w:rFonts w:ascii="David" w:hAnsi="David"/>
          <w:rtl/>
        </w:rPr>
        <w:t xml:space="preserve"> שהוא רופאו של האב שאף העיד לטובתו בבית משפט קמא, והאב שם מבטחו ואמונו </w:t>
      </w:r>
      <w:r w:rsidR="00AA657E">
        <w:rPr>
          <w:rFonts w:ascii="David" w:hAnsi="David" w:hint="cs"/>
          <w:rtl/>
        </w:rPr>
        <w:t>ב-ג'</w:t>
      </w:r>
      <w:r>
        <w:rPr>
          <w:rFonts w:ascii="David" w:hAnsi="David"/>
          <w:rtl/>
        </w:rPr>
        <w:t xml:space="preserve">; אולם נמנע מלתמוך את בקשתו בתצהיר מאת </w:t>
      </w:r>
      <w:r w:rsidR="00AA657E">
        <w:rPr>
          <w:rFonts w:ascii="David" w:hAnsi="David" w:hint="cs"/>
          <w:rtl/>
        </w:rPr>
        <w:t>ג'</w:t>
      </w:r>
      <w:r>
        <w:rPr>
          <w:rFonts w:ascii="David" w:hAnsi="David"/>
          <w:rtl/>
        </w:rPr>
        <w:t xml:space="preserve">. </w:t>
      </w:r>
    </w:p>
    <w:p w:rsidR="00B61677" w:rsidRDefault="00B61677" w:rsidP="00AA657E">
      <w:pPr>
        <w:spacing w:after="120" w:line="360" w:lineRule="auto"/>
        <w:ind w:left="1417" w:hanging="709"/>
        <w:jc w:val="both"/>
        <w:rPr>
          <w:rFonts w:ascii="David" w:hAnsi="David"/>
          <w:rtl/>
        </w:rPr>
      </w:pPr>
      <w:r>
        <w:rPr>
          <w:rFonts w:ascii="David" w:hAnsi="David"/>
          <w:rtl/>
        </w:rPr>
        <w:tab/>
        <w:t xml:space="preserve">תוך כדי הדיון פנה עו"ד שנאן לאב ושוחח עמו בערבית. לאחר מכן יצאו הצדדים מחוץ לאולם וכל עו"ד שוחח עם לקוחו, כאשר </w:t>
      </w:r>
      <w:r w:rsidR="00AA657E">
        <w:rPr>
          <w:rFonts w:ascii="David" w:hAnsi="David" w:hint="cs"/>
          <w:rtl/>
        </w:rPr>
        <w:t>ג'</w:t>
      </w:r>
      <w:r>
        <w:rPr>
          <w:rFonts w:ascii="David" w:hAnsi="David"/>
          <w:rtl/>
        </w:rPr>
        <w:t xml:space="preserve"> התלווה לאב ולא עזבו. עו"ד שנאן שוחח עם האב גם לאחר שהצדדים הסכימו כי מחיר הזכויות ייקבע על ידי בית המשפט שיוסמך לפסוק על דרך הפשרה. לאחר מכן חזרו הצדדים לאולם והכתיבו את נוסח ההסכמות.</w:t>
      </w:r>
    </w:p>
    <w:p w:rsidR="00B61677" w:rsidRDefault="00B61677" w:rsidP="00B61677">
      <w:pPr>
        <w:spacing w:after="120" w:line="360" w:lineRule="auto"/>
        <w:ind w:left="1417" w:hanging="709"/>
        <w:jc w:val="both"/>
        <w:rPr>
          <w:rFonts w:ascii="David" w:hAnsi="David"/>
          <w:rtl/>
        </w:rPr>
      </w:pPr>
      <w:r>
        <w:rPr>
          <w:rFonts w:ascii="David" w:hAnsi="David"/>
          <w:rtl/>
        </w:rPr>
        <w:t>ה.</w:t>
      </w:r>
      <w:r>
        <w:rPr>
          <w:rFonts w:ascii="David" w:hAnsi="David"/>
          <w:rtl/>
        </w:rPr>
        <w:tab/>
        <w:t xml:space="preserve">האב ידע כי הוא מוכר את זכויותיו במקרקעין כפי שנקבעו בפסק הדין קמא, אך לא ידע את גובה התמורה כי עניין זה הושאר לפסיקת בית משפט זה על דרך הפשרה. ההסכמה על המתווה ניתנה לאחר שגם בית המשפט פנה לאב בשפה פשוטה והסביר לו זאת, וכן ביקש כי עו"ד שנאן יסביר לאב. ככל שנפלה טעות מצד האב – טעותו אינה אלא טעות בכדאיות הפשרה (גובה התמורה שנקבעה בפסק דינו של בית משפט זה). </w:t>
      </w:r>
    </w:p>
    <w:p w:rsidR="00B61677" w:rsidRDefault="00B61677" w:rsidP="00B61677">
      <w:pPr>
        <w:spacing w:after="120" w:line="360" w:lineRule="auto"/>
        <w:ind w:left="1417" w:hanging="709"/>
        <w:jc w:val="both"/>
        <w:rPr>
          <w:rFonts w:ascii="David" w:hAnsi="David"/>
          <w:rtl/>
        </w:rPr>
      </w:pPr>
      <w:r>
        <w:rPr>
          <w:rFonts w:ascii="David" w:hAnsi="David"/>
          <w:rtl/>
        </w:rPr>
        <w:t>ו.</w:t>
      </w:r>
      <w:r>
        <w:rPr>
          <w:rFonts w:ascii="David" w:hAnsi="David"/>
          <w:rtl/>
        </w:rPr>
        <w:tab/>
        <w:t>עיון בייפוי הכח שהגיש עו"ד שנאן מלמד כי הוסמך על ידי האב "</w:t>
      </w:r>
      <w:r>
        <w:rPr>
          <w:rFonts w:ascii="David" w:hAnsi="David"/>
          <w:b/>
          <w:bCs/>
          <w:rtl/>
        </w:rPr>
        <w:t>לבוא לידי פשרות והסכמים</w:t>
      </w:r>
      <w:r>
        <w:rPr>
          <w:rFonts w:ascii="David" w:hAnsi="David"/>
          <w:rtl/>
        </w:rPr>
        <w:t>" וכי האב מאשר מעשי בא כוחו אלה מראש. לפי זה ברי כי מעשי עו"ד שנאן נעשו בסמכות ובהרשאה.</w:t>
      </w:r>
    </w:p>
    <w:p w:rsidR="00B61677" w:rsidRDefault="00B61677" w:rsidP="00B61677">
      <w:pPr>
        <w:spacing w:after="120" w:line="360" w:lineRule="auto"/>
        <w:ind w:left="1417" w:hanging="709"/>
        <w:jc w:val="both"/>
        <w:rPr>
          <w:rFonts w:ascii="David" w:hAnsi="David"/>
          <w:rtl/>
        </w:rPr>
      </w:pPr>
    </w:p>
    <w:p w:rsidR="00B61677" w:rsidRDefault="00B61677" w:rsidP="00B61677">
      <w:pPr>
        <w:spacing w:after="120" w:line="360" w:lineRule="auto"/>
        <w:ind w:left="1417" w:hanging="1418"/>
        <w:jc w:val="both"/>
        <w:rPr>
          <w:rFonts w:ascii="David" w:hAnsi="David"/>
          <w:rtl/>
        </w:rPr>
      </w:pPr>
      <w:r>
        <w:rPr>
          <w:rFonts w:ascii="David" w:hAnsi="David"/>
          <w:b/>
          <w:bCs/>
          <w:u w:val="single"/>
          <w:rtl/>
        </w:rPr>
        <w:lastRenderedPageBreak/>
        <w:t>דיון והכרעה</w:t>
      </w:r>
    </w:p>
    <w:p w:rsidR="00B61677" w:rsidRDefault="00B61677" w:rsidP="00B61677">
      <w:pPr>
        <w:spacing w:after="120" w:line="360" w:lineRule="auto"/>
        <w:ind w:left="709" w:hanging="709"/>
        <w:jc w:val="both"/>
        <w:rPr>
          <w:rFonts w:ascii="David" w:hAnsi="David"/>
          <w:rtl/>
        </w:rPr>
      </w:pPr>
      <w:r>
        <w:rPr>
          <w:rFonts w:ascii="David" w:hAnsi="David"/>
          <w:rtl/>
        </w:rPr>
        <w:t>8.</w:t>
      </w:r>
      <w:r>
        <w:rPr>
          <w:rFonts w:ascii="David" w:hAnsi="David"/>
          <w:rtl/>
        </w:rPr>
        <w:tab/>
      </w:r>
      <w:r>
        <w:rPr>
          <w:rFonts w:ascii="David" w:hAnsi="David"/>
          <w:b/>
          <w:bCs/>
          <w:rtl/>
        </w:rPr>
        <w:t>לאחר שעיינו בבקשה ובתגובה, נחה דעתנו כי דין הבקשה להידחות</w:t>
      </w:r>
      <w:r>
        <w:rPr>
          <w:rFonts w:ascii="David" w:hAnsi="David"/>
          <w:rtl/>
        </w:rPr>
        <w:t>. להלן ננמק את החלטתנו.</w:t>
      </w:r>
    </w:p>
    <w:p w:rsidR="00B61677" w:rsidRDefault="00B61677" w:rsidP="00B61677">
      <w:pPr>
        <w:spacing w:after="120" w:line="360" w:lineRule="auto"/>
        <w:ind w:left="709" w:hanging="709"/>
        <w:jc w:val="both"/>
        <w:rPr>
          <w:rFonts w:ascii="David" w:hAnsi="David"/>
          <w:rtl/>
        </w:rPr>
      </w:pPr>
      <w:r>
        <w:rPr>
          <w:rFonts w:ascii="David" w:hAnsi="David"/>
          <w:rtl/>
        </w:rPr>
        <w:t>9.</w:t>
      </w:r>
      <w:r>
        <w:rPr>
          <w:rFonts w:ascii="David" w:hAnsi="David"/>
          <w:rtl/>
        </w:rPr>
        <w:tab/>
        <w:t xml:space="preserve">עסקינן אמנם ב"בקשה לביטול פסק דין", אולם כפי שפורט לעיל, "פסק הדין" אליו מתייחסת הבקשה איננו מקשה אחת אלא מורכב משניים: ההסכמות אליהן הגיעו הצדדים במהלך הדיון בפנינו להן ניתן תוקף של החלטה, </w:t>
      </w:r>
      <w:r>
        <w:rPr>
          <w:rFonts w:ascii="David" w:hAnsi="David"/>
          <w:u w:val="single"/>
          <w:rtl/>
        </w:rPr>
        <w:t>ופסק הדין שניתן על יסוד אותן הסכמות</w:t>
      </w:r>
      <w:r>
        <w:rPr>
          <w:rFonts w:ascii="David" w:hAnsi="David"/>
          <w:rtl/>
        </w:rPr>
        <w:t xml:space="preserve"> – לאחר שבאי כח הצדדים הסמיכונו לפסוק לפי סעיף 79א לחוק בתי המשפט. </w:t>
      </w:r>
    </w:p>
    <w:p w:rsidR="00B61677" w:rsidRDefault="00B61677" w:rsidP="00B61677">
      <w:pPr>
        <w:spacing w:after="120" w:line="360" w:lineRule="auto"/>
        <w:ind w:left="709" w:hanging="709"/>
        <w:jc w:val="both"/>
        <w:rPr>
          <w:rFonts w:ascii="David" w:hAnsi="David"/>
          <w:b/>
          <w:bCs/>
          <w:rtl/>
        </w:rPr>
      </w:pPr>
      <w:r>
        <w:rPr>
          <w:rFonts w:ascii="David" w:hAnsi="David"/>
          <w:rtl/>
        </w:rPr>
        <w:tab/>
      </w:r>
      <w:r>
        <w:rPr>
          <w:rFonts w:ascii="David" w:hAnsi="David"/>
          <w:b/>
          <w:bCs/>
          <w:rtl/>
        </w:rPr>
        <w:t>ודוק – האב בבקשתו, ואף הבן בתגובתו, לא ערכו כל הבחנה בין השניים אלא העלו טענותיהם כלפי שני הרכיבים כאילו חד הם – אולם סבורים אנו כי יש מקום להבדיל בין שני הרכיבים, וכי יש לדון בהם בנפרד, כפי שנפרט להלן.</w:t>
      </w:r>
    </w:p>
    <w:p w:rsidR="00B61677" w:rsidRDefault="00B61677" w:rsidP="00B61677">
      <w:pPr>
        <w:spacing w:after="120" w:line="360" w:lineRule="auto"/>
        <w:ind w:left="709" w:hanging="709"/>
        <w:jc w:val="both"/>
        <w:rPr>
          <w:rFonts w:ascii="David" w:hAnsi="David"/>
          <w:rtl/>
        </w:rPr>
      </w:pPr>
      <w:r>
        <w:rPr>
          <w:rFonts w:ascii="David" w:hAnsi="David"/>
          <w:rtl/>
        </w:rPr>
        <w:t>10.</w:t>
      </w:r>
      <w:r>
        <w:rPr>
          <w:rFonts w:ascii="David" w:hAnsi="David"/>
          <w:rtl/>
        </w:rPr>
        <w:tab/>
        <w:t xml:space="preserve">ראשית נדון בטענותיו של האב לעניין ההסכמות שהושגו במהלך הדיון בפנינו. נזכיר כי הסכמות אלו אושרו באותו דיון </w:t>
      </w:r>
      <w:r>
        <w:rPr>
          <w:rFonts w:ascii="David" w:hAnsi="David"/>
          <w:b/>
          <w:bCs/>
          <w:rtl/>
        </w:rPr>
        <w:t>וניתן להם תוקף של החלטה</w:t>
      </w:r>
      <w:r>
        <w:rPr>
          <w:rFonts w:ascii="David" w:hAnsi="David"/>
          <w:rtl/>
        </w:rPr>
        <w:t xml:space="preserve">, תוך שצוין כי פסק דין יינתן במהלך הימים הקרובים. </w:t>
      </w:r>
    </w:p>
    <w:p w:rsidR="00B61677" w:rsidRDefault="00B61677" w:rsidP="00B61677">
      <w:pPr>
        <w:spacing w:after="120" w:line="360" w:lineRule="auto"/>
        <w:ind w:left="709" w:hanging="709"/>
        <w:jc w:val="both"/>
        <w:rPr>
          <w:rFonts w:ascii="David" w:hAnsi="David"/>
          <w:rtl/>
        </w:rPr>
      </w:pPr>
      <w:r>
        <w:rPr>
          <w:rFonts w:ascii="David" w:hAnsi="David"/>
          <w:rtl/>
        </w:rPr>
        <w:tab/>
      </w:r>
      <w:r>
        <w:rPr>
          <w:rFonts w:ascii="David" w:hAnsi="David"/>
          <w:u w:val="single"/>
          <w:rtl/>
        </w:rPr>
        <w:t xml:space="preserve">יפים לענייננו הדברים שנאמרו על ידי בית המשפט העליון (כב' השופטת גילה כנפי שטייניץ) ב- רע"א 7609/22 </w:t>
      </w:r>
      <w:r>
        <w:rPr>
          <w:rFonts w:ascii="David" w:hAnsi="David"/>
          <w:b/>
          <w:bCs/>
          <w:u w:val="single"/>
          <w:rtl/>
        </w:rPr>
        <w:t>‏מסורת התורה בני ברק נ' ישיבת פוניבז' בע"מ</w:t>
      </w:r>
      <w:r>
        <w:rPr>
          <w:rFonts w:ascii="David" w:hAnsi="David"/>
          <w:u w:val="single"/>
          <w:rtl/>
        </w:rPr>
        <w:t xml:space="preserve"> (23.4.2023) (להלן: "</w:t>
      </w:r>
      <w:r>
        <w:rPr>
          <w:rFonts w:ascii="David" w:hAnsi="David"/>
          <w:b/>
          <w:bCs/>
          <w:u w:val="single"/>
          <w:rtl/>
        </w:rPr>
        <w:t>עניין ישיבת פוניבז'</w:t>
      </w:r>
      <w:r>
        <w:rPr>
          <w:rFonts w:ascii="David" w:hAnsi="David"/>
          <w:u w:val="single"/>
          <w:rtl/>
        </w:rPr>
        <w:t>")</w:t>
      </w:r>
      <w:r>
        <w:rPr>
          <w:rFonts w:ascii="David" w:hAnsi="David"/>
          <w:rtl/>
        </w:rPr>
        <w:t xml:space="preserve">: </w:t>
      </w:r>
    </w:p>
    <w:p w:rsidR="00B61677" w:rsidRDefault="00B61677" w:rsidP="00B61677">
      <w:pPr>
        <w:spacing w:after="120" w:line="360" w:lineRule="auto"/>
        <w:ind w:left="1417" w:right="709"/>
        <w:jc w:val="both"/>
        <w:rPr>
          <w:rFonts w:ascii="David" w:hAnsi="David"/>
          <w:b/>
          <w:bCs/>
          <w:rtl/>
        </w:rPr>
      </w:pPr>
      <w:r>
        <w:rPr>
          <w:rFonts w:ascii="David" w:hAnsi="David"/>
          <w:b/>
          <w:bCs/>
          <w:rtl/>
        </w:rPr>
        <w:t xml:space="preserve">"17. ... הרקע הנורמטיבי לבחינתה של הבקשה האמורה עניינו בביטול החלטה שיפוטית שניתנה על יסוד הסכמת הצדדים. בהקשר זה, הכירה הפסיקה בכך שפסק דין שניתן בהסכמה, ניתן לביטול ככל שנפל פגם בכריתת ההסכם העומד ביסודו. ביטול כזה מתאפשר מכוח דיני החוזים, בשים לב להיבט החוזי של פסק דין כזה (ראו: ע"א 2495/95 בן לולו נ' אטרש, פ"ד נא(1) 557, 589-588 (1997) (להלן: עניין בן לולו)). הדברים יפים גם להחלטה מן הסוג הנדון בענייננו, שאמנם לא מסיימת באופן סופי את ההליך בין הצדדים, אך שורשיה נטועים בפשרה והסכמה של בעלי הדין. עם זאת, בקשה לביטול החלטה או פסק דין מחמת פגם שנפל בהסכמת בעל דין, תיבחן במשנה זהירות ורק טעמים כבדי משקל יצדיקו ביטולה של ההחלטה. הטעם המרכזי לכך נעוץ בתכליתו העיקרית של מוסד הפשרה – ציפייתם של הצדדים כי באמצעות הוויתורים ההדדיים שנעשו בגדר הפשרה, תסתיים המחלוקת ביניהם, אם לא באופן סופי, למצער ביחס לעניין העומד על הפרק. ביטול בדיעבד של החלטה שיפוטית שניתנה בהסכמה, ופתיחת העניין לדיון מחדש – חותרים תחת ציפייה זו, ופוגעים בתמריץ להגיע להסכמות מלכתחילה. בכך, יוצא נפסד האינטרס הציבורי בדבר קידומן ועידודן של פשרות בהליכים משפטיים (ראו: ע"א </w:t>
      </w:r>
      <w:r>
        <w:rPr>
          <w:rFonts w:ascii="David" w:hAnsi="David"/>
          <w:b/>
          <w:bCs/>
          <w:rtl/>
        </w:rPr>
        <w:lastRenderedPageBreak/>
        <w:t>11750/05 שמר נ' בנק הפועלים בע"מ, פסקה 9 [פורסם בנבו] (15.11.2007) (להלן: עניין שמר); עניין בן לולו, בעמ' 593-590).</w:t>
      </w:r>
    </w:p>
    <w:p w:rsidR="00B61677" w:rsidRDefault="00B61677" w:rsidP="00B61677">
      <w:pPr>
        <w:spacing w:after="120" w:line="360" w:lineRule="auto"/>
        <w:ind w:left="1417" w:right="709"/>
        <w:jc w:val="both"/>
        <w:rPr>
          <w:rFonts w:ascii="David" w:hAnsi="David"/>
          <w:b/>
          <w:bCs/>
          <w:rtl/>
        </w:rPr>
      </w:pPr>
      <w:r>
        <w:rPr>
          <w:rFonts w:ascii="David" w:hAnsi="David"/>
          <w:b/>
          <w:bCs/>
          <w:rtl/>
        </w:rPr>
        <w:t>18.         טעם נוסף שבגינו מכביד בית משפט ידו על בקשות לביטול החלטות שניתנו בהסכמת הצדדים, נעוץ בטיבה של הסכמה המושגת במסגרת הליך שיפוטי. כאשר מדובר בפשרה שאליה הגיעו הצדדים תחת פיקוחו של בית המשפט, ותוך מעורבותו בהליך המשא ומתן – מתחזקת ההנחה כי הצדדים הבינו את תוכנו של ההסכם, וגמרו בדעתם להתקשר בו. בנסיבות אלה, נדרש להציג טעם משמעותי ומשכנע, על מנת שתתקבל טענה לפגם שנפל בהסכמה (ראו: רע"א 4976/00 בית הפסנתר נ' מור, פ"ד נו(1) 577, 586 (2001)). אך מובן כי אין לבטל את תוקפן של פשרות בכל מצב שבו מי מהצדדים סבור, בדיעבד, כי הפשרה לא הייתה כדאית מבחינתו. גישה כזו אינה מתיישבת עם דיני החוזים הכלליים, שלפיהם טעות בכדאיות העיסקה אינה עולה כדי פגם בכריתת החוזה, והיא מערערת את הוודאות והסופיות שהן כאמור מסימניו המובהקים של מוסד הפשרה (עניין שמר, בפסקה 9)".</w:t>
      </w:r>
    </w:p>
    <w:p w:rsidR="00B61677" w:rsidRDefault="00B61677" w:rsidP="00B61677">
      <w:pPr>
        <w:spacing w:after="120" w:line="360" w:lineRule="auto"/>
        <w:ind w:left="709" w:hanging="709"/>
        <w:jc w:val="both"/>
        <w:rPr>
          <w:rFonts w:ascii="David" w:hAnsi="David"/>
          <w:rtl/>
        </w:rPr>
      </w:pPr>
      <w:r>
        <w:rPr>
          <w:rFonts w:ascii="David" w:hAnsi="David"/>
          <w:rtl/>
        </w:rPr>
        <w:tab/>
        <w:t>דרושים אם כן, "</w:t>
      </w:r>
      <w:r>
        <w:rPr>
          <w:rFonts w:ascii="David" w:hAnsi="David"/>
          <w:b/>
          <w:bCs/>
          <w:rtl/>
        </w:rPr>
        <w:t>טעמים כבדי משקל</w:t>
      </w:r>
      <w:r>
        <w:rPr>
          <w:rFonts w:ascii="David" w:hAnsi="David"/>
          <w:rtl/>
        </w:rPr>
        <w:t>" שיצדיקו ביטול החלטה מחמת פגם שנפל בהסכמת מי מבעלי הדין, כפי שטען האב בבקשתו דנן. נפנה לבחון האם מתקיימים בענייננו טעמים אלו.</w:t>
      </w:r>
    </w:p>
    <w:p w:rsidR="00B61677" w:rsidRDefault="00B61677" w:rsidP="001A7DFA">
      <w:pPr>
        <w:spacing w:after="120" w:line="360" w:lineRule="auto"/>
        <w:ind w:left="709" w:hanging="709"/>
        <w:jc w:val="both"/>
        <w:rPr>
          <w:rFonts w:ascii="David" w:hAnsi="David"/>
          <w:rtl/>
        </w:rPr>
      </w:pPr>
      <w:r>
        <w:rPr>
          <w:rFonts w:ascii="David" w:hAnsi="David"/>
          <w:rtl/>
        </w:rPr>
        <w:t>11.</w:t>
      </w:r>
      <w:r>
        <w:rPr>
          <w:rFonts w:ascii="David" w:hAnsi="David"/>
          <w:rtl/>
        </w:rPr>
        <w:tab/>
        <w:t xml:space="preserve">טען האב בבקשתו, כי חוץ מעורך דינו דאז, עו"ד שנאן, אף ליווה אותו בעת הדיון בערעור, ואף נכח באולם בעת הדיון בערעור, </w:t>
      </w:r>
      <w:r w:rsidR="001A7DFA">
        <w:rPr>
          <w:rFonts w:ascii="David" w:hAnsi="David" w:hint="cs"/>
          <w:rtl/>
        </w:rPr>
        <w:t>ג'</w:t>
      </w:r>
      <w:r>
        <w:rPr>
          <w:rFonts w:ascii="David" w:hAnsi="David"/>
          <w:rtl/>
        </w:rPr>
        <w:t xml:space="preserve">, ידידו ורופאו האישי. היינו האב לא היה לבדו בדיון </w:t>
      </w:r>
      <w:r w:rsidR="001A7DFA">
        <w:rPr>
          <w:rFonts w:ascii="David" w:hAnsi="David" w:hint="cs"/>
          <w:rtl/>
        </w:rPr>
        <w:t>ו-ג'</w:t>
      </w:r>
      <w:r>
        <w:rPr>
          <w:rFonts w:ascii="David" w:hAnsi="David"/>
          <w:rtl/>
        </w:rPr>
        <w:t xml:space="preserve"> התלווה אליו כל העת, גם בעת שיצאו הצדדים ובאי כוחם להתייעצות מחוץ לאולם (כך גם זכור לבית המשפט). טענתו המרכזית של האב בבקשתו בפנינו היא כאמור, כי לא הוסבר לו באף שלב תוכנם של ההסכמות. יכול היה האב לתמוך את טענותיו אלה בתצהיר מאת </w:t>
      </w:r>
      <w:r w:rsidR="001A7DFA">
        <w:rPr>
          <w:rFonts w:ascii="David" w:hAnsi="David" w:hint="cs"/>
          <w:rtl/>
        </w:rPr>
        <w:t>ג'</w:t>
      </w:r>
      <w:r>
        <w:rPr>
          <w:rFonts w:ascii="David" w:hAnsi="David"/>
          <w:rtl/>
        </w:rPr>
        <w:t xml:space="preserve"> (שהרי ליווהו כל העת ויכול היה להעיד על אמיתות טענות האב), </w:t>
      </w:r>
      <w:r>
        <w:rPr>
          <w:rFonts w:ascii="David" w:hAnsi="David"/>
          <w:b/>
          <w:bCs/>
          <w:rtl/>
        </w:rPr>
        <w:t>אולם הוא נמנע מלעשות כן</w:t>
      </w:r>
      <w:r>
        <w:rPr>
          <w:rFonts w:ascii="David" w:hAnsi="David"/>
          <w:rtl/>
        </w:rPr>
        <w:t xml:space="preserve">. </w:t>
      </w:r>
    </w:p>
    <w:p w:rsidR="00B61677" w:rsidRDefault="00B61677" w:rsidP="00B61677">
      <w:pPr>
        <w:spacing w:after="120" w:line="360" w:lineRule="auto"/>
        <w:ind w:left="709" w:hanging="709"/>
        <w:jc w:val="both"/>
        <w:rPr>
          <w:rFonts w:ascii="David" w:hAnsi="David"/>
          <w:rtl/>
        </w:rPr>
      </w:pPr>
      <w:r>
        <w:rPr>
          <w:rFonts w:ascii="David" w:hAnsi="David"/>
          <w:rtl/>
        </w:rPr>
        <w:tab/>
        <w:t>מחדל זה פועל לחובת גרסתו של האב בנדון</w:t>
      </w:r>
      <w:r>
        <w:rPr>
          <w:rtl/>
        </w:rPr>
        <w:t xml:space="preserve">, </w:t>
      </w:r>
      <w:r>
        <w:rPr>
          <w:rFonts w:ascii="David" w:hAnsi="David"/>
          <w:rtl/>
        </w:rPr>
        <w:t xml:space="preserve">מכח הכלל שבפסיקה הקובע לאמור, כי צד שנמנע מלהביא עד רלבנטי בהעדר הסבר אמין וסביר, מעורר מדרך הטבע את החשד שיש דברים בגו, וכי נמנע מהבאתו לעדות כי הוא חושש מעדותו ומחשיפתו לחקירה נגדית. לשון אחרת, מחדל זה פועל לחובתו, ויש בו בכדי לתמוך בגרסת הצד הנגדי. על כן, ביהמ"ש רשאי להסיק מאי הזמנת עד רלבנטי כאמור, מסקנות מחמירות וקיצוניות נגד מי שנמנע מהבאת העד (לעניין זה ראו: יעקב קדמי, </w:t>
      </w:r>
      <w:r>
        <w:rPr>
          <w:rFonts w:ascii="David" w:hAnsi="David"/>
          <w:b/>
          <w:bCs/>
          <w:rtl/>
        </w:rPr>
        <w:t>על הראיות</w:t>
      </w:r>
      <w:r>
        <w:rPr>
          <w:rFonts w:ascii="David" w:hAnsi="David"/>
          <w:rtl/>
        </w:rPr>
        <w:t>, חלק שלישי, עמ' 1649, מהדורה משולבת ומעודכנת תש"ע – 2009).</w:t>
      </w:r>
      <w:r>
        <w:rPr>
          <w:rFonts w:ascii="David" w:hAnsi="David"/>
          <w:rtl/>
        </w:rPr>
        <w:tab/>
      </w:r>
    </w:p>
    <w:p w:rsidR="00B61677" w:rsidRDefault="00B61677" w:rsidP="00B61677">
      <w:pPr>
        <w:spacing w:after="120" w:line="360" w:lineRule="auto"/>
        <w:ind w:left="709" w:hanging="709"/>
        <w:jc w:val="both"/>
        <w:rPr>
          <w:rFonts w:ascii="David" w:hAnsi="David"/>
          <w:rtl/>
        </w:rPr>
      </w:pPr>
      <w:r>
        <w:rPr>
          <w:rFonts w:ascii="David" w:hAnsi="David"/>
          <w:rtl/>
        </w:rPr>
        <w:tab/>
        <w:t>בכך חיזוק לטענת הבן, כי עו"ד שנאן הסביר לאב את תוכן ההסכמות בעת ששוחחו בחוץ ובטרם הכתיבו אותן לפרוטוקול, ואף יידע את האב כי את שווי הזכויות יפסוק בית משפט זה על דרך הפשרה.</w:t>
      </w:r>
    </w:p>
    <w:p w:rsidR="00B61677" w:rsidRDefault="00B61677" w:rsidP="00B61677">
      <w:pPr>
        <w:spacing w:after="120" w:line="360" w:lineRule="auto"/>
        <w:ind w:left="709" w:hanging="709"/>
        <w:jc w:val="both"/>
        <w:rPr>
          <w:rFonts w:ascii="David" w:hAnsi="David"/>
          <w:rtl/>
        </w:rPr>
      </w:pPr>
      <w:r>
        <w:rPr>
          <w:rFonts w:ascii="David" w:hAnsi="David"/>
          <w:rtl/>
        </w:rPr>
        <w:lastRenderedPageBreak/>
        <w:t>12.</w:t>
      </w:r>
      <w:r>
        <w:rPr>
          <w:rFonts w:ascii="David" w:hAnsi="David"/>
          <w:rtl/>
        </w:rPr>
        <w:tab/>
        <w:t xml:space="preserve">טען האב בבקשתו כי הסכמתו לפשרה לא ניתנה, וכי לא חתם על מסמך כלשהו שהוא מסכים להותיר לבית המשפט את הסמכות לפעול לפי סעיף 79א לחוק בתי המשפט – ובתגובה טען בנו, כי עו"ד שנאן הוסמך מראש על ידי האב בייפוי הכח עליו חתם, להגיע לפשרות ולהסכמים; וכי אין לשעות לטענות האב היות שכלל לא התבקשה עמדתו של עו"ד שנאן לטענות הקשות שהעלה האב נגדו. </w:t>
      </w:r>
    </w:p>
    <w:p w:rsidR="00B61677" w:rsidRDefault="00B61677" w:rsidP="00B61677">
      <w:pPr>
        <w:spacing w:after="120" w:line="360" w:lineRule="auto"/>
        <w:ind w:left="709" w:hanging="709"/>
        <w:jc w:val="both"/>
        <w:rPr>
          <w:rFonts w:ascii="David" w:hAnsi="David"/>
          <w:rtl/>
        </w:rPr>
      </w:pPr>
      <w:r>
        <w:rPr>
          <w:rFonts w:ascii="David" w:hAnsi="David"/>
          <w:rtl/>
        </w:rPr>
        <w:tab/>
        <w:t xml:space="preserve">סבורים אנו כי יש טעם של ממש בטענות הבן, בייחוד נוכח העובדה כי עמדתו של עו"ד שנאן לא הובאה לפתחנו על ידי המבקש, מכח הכלל שבפסיקה שהוזכר לעיל. </w:t>
      </w:r>
      <w:r>
        <w:rPr>
          <w:rFonts w:ascii="David" w:hAnsi="David"/>
          <w:b/>
          <w:bCs/>
          <w:rtl/>
        </w:rPr>
        <w:t>לפיכך אנו דוחים את טענות האב בנקודה זו</w:t>
      </w:r>
      <w:r>
        <w:rPr>
          <w:rFonts w:ascii="David" w:hAnsi="David"/>
          <w:rtl/>
        </w:rPr>
        <w:t>.</w:t>
      </w:r>
    </w:p>
    <w:p w:rsidR="00B61677" w:rsidRDefault="00B61677" w:rsidP="00B61677">
      <w:pPr>
        <w:spacing w:after="120" w:line="360" w:lineRule="auto"/>
        <w:ind w:left="709" w:hanging="709"/>
        <w:jc w:val="both"/>
        <w:rPr>
          <w:rFonts w:ascii="David" w:hAnsi="David"/>
          <w:rtl/>
        </w:rPr>
      </w:pPr>
      <w:r>
        <w:rPr>
          <w:rFonts w:ascii="David" w:hAnsi="David"/>
          <w:rtl/>
        </w:rPr>
        <w:t>13.</w:t>
      </w:r>
      <w:r>
        <w:rPr>
          <w:rFonts w:ascii="David" w:hAnsi="David"/>
          <w:rtl/>
        </w:rPr>
        <w:tab/>
        <w:t>גם טענתו של הבן בתגובתו, כי חרטותיו של האב אינן אלא "טעות בכדאיות הפשרה", וזאת משלמד האב על גובה הסכום בו הוערכו שווי זכויותיו במקרקעין (עם מתן פסק דיננו), אינה "קלוטה מן האוויר".</w:t>
      </w:r>
    </w:p>
    <w:p w:rsidR="00B61677" w:rsidRDefault="00B61677" w:rsidP="00B61677">
      <w:pPr>
        <w:spacing w:after="120" w:line="360" w:lineRule="auto"/>
        <w:ind w:left="709"/>
        <w:jc w:val="both"/>
        <w:rPr>
          <w:rFonts w:ascii="David" w:hAnsi="David"/>
          <w:rtl/>
        </w:rPr>
      </w:pPr>
      <w:r>
        <w:rPr>
          <w:rFonts w:ascii="David" w:hAnsi="David"/>
          <w:rtl/>
        </w:rPr>
        <w:t xml:space="preserve">כידוע טעות בכדאיות הפשרה לא מהווה טעם משמעותי ומשכנע, על מנת שתתקבל טענה לפגם שנפל בהסכמה (ראו </w:t>
      </w:r>
      <w:r>
        <w:rPr>
          <w:rFonts w:ascii="David" w:hAnsi="David"/>
          <w:b/>
          <w:bCs/>
          <w:rtl/>
        </w:rPr>
        <w:t>עניין ישיבת פוניבז'</w:t>
      </w:r>
      <w:r>
        <w:rPr>
          <w:rFonts w:ascii="David" w:hAnsi="David"/>
          <w:rtl/>
        </w:rPr>
        <w:t xml:space="preserve"> לעיל).</w:t>
      </w:r>
    </w:p>
    <w:p w:rsidR="00B61677" w:rsidRDefault="00B61677" w:rsidP="00B61677">
      <w:pPr>
        <w:spacing w:after="120" w:line="360" w:lineRule="auto"/>
        <w:ind w:left="709" w:hanging="709"/>
        <w:jc w:val="both"/>
        <w:rPr>
          <w:rFonts w:ascii="David" w:hAnsi="David"/>
          <w:rtl/>
        </w:rPr>
      </w:pPr>
      <w:r>
        <w:rPr>
          <w:rFonts w:ascii="David" w:hAnsi="David"/>
          <w:rtl/>
        </w:rPr>
        <w:t>14.</w:t>
      </w:r>
      <w:r>
        <w:rPr>
          <w:rFonts w:ascii="David" w:hAnsi="David"/>
          <w:rtl/>
        </w:rPr>
        <w:tab/>
      </w:r>
      <w:r>
        <w:rPr>
          <w:rFonts w:ascii="David" w:hAnsi="David"/>
          <w:b/>
          <w:bCs/>
          <w:rtl/>
        </w:rPr>
        <w:t>מהמקובץ לעיל אנו סבורים כי לא הוכחו בפנינו "טעמים כבדי משקל" שיש בהם כדי לבטל את ההחלטה, מחמת פגם שנפל בהסכמת האב בדיון שנערך בפנינו, ועל כן יש לדחות את בקשת האב בעניין זה.</w:t>
      </w:r>
      <w:r>
        <w:rPr>
          <w:rFonts w:ascii="David" w:hAnsi="David"/>
          <w:rtl/>
        </w:rPr>
        <w:t xml:space="preserve"> </w:t>
      </w:r>
    </w:p>
    <w:p w:rsidR="00B61677" w:rsidRDefault="00B61677" w:rsidP="00B61677">
      <w:pPr>
        <w:spacing w:after="120" w:line="360" w:lineRule="auto"/>
        <w:ind w:left="709" w:hanging="709"/>
        <w:jc w:val="both"/>
        <w:rPr>
          <w:rFonts w:ascii="David" w:hAnsi="David"/>
          <w:rtl/>
        </w:rPr>
      </w:pPr>
      <w:r>
        <w:rPr>
          <w:rFonts w:ascii="David" w:hAnsi="David"/>
          <w:rtl/>
        </w:rPr>
        <w:t>15.</w:t>
      </w:r>
      <w:r>
        <w:rPr>
          <w:rFonts w:ascii="David" w:hAnsi="David"/>
          <w:rtl/>
        </w:rPr>
        <w:tab/>
        <w:t>כעת נעבור לדון בטענות האב בקשר לביטול פסק דיננו מיום 16.5.23, שניתן לאחר שהצדדים הסמיכונו לפסוק על דרך של פשרה לפי סעיף 79א לחוק בתי המשפט במסגרת דיון שהתקיים במעמד הצדדים.</w:t>
      </w:r>
    </w:p>
    <w:p w:rsidR="00B61677" w:rsidRDefault="00B61677" w:rsidP="00B61677">
      <w:pPr>
        <w:spacing w:after="120" w:line="360" w:lineRule="auto"/>
        <w:ind w:left="709" w:hanging="709"/>
        <w:jc w:val="both"/>
        <w:rPr>
          <w:rFonts w:ascii="David" w:hAnsi="David"/>
          <w:rtl/>
        </w:rPr>
      </w:pPr>
      <w:r>
        <w:rPr>
          <w:rFonts w:ascii="David" w:hAnsi="David"/>
          <w:rtl/>
        </w:rPr>
        <w:t>16.</w:t>
      </w:r>
      <w:r>
        <w:rPr>
          <w:rFonts w:ascii="David" w:hAnsi="David"/>
          <w:rtl/>
        </w:rPr>
        <w:tab/>
        <w:t>נעיר כי מדובר בנקודה אשר איש מהצדדים לא התייחס אליה בכתבי טענותיהם, והיא כי "דרך המלך" הדיונית "לתקוף" פסק דין שלא ניתן במעמד צד אחד, היא הגשת ערעור לערכאת הערעור (במקרה דנן – הגשת בקשת רשות ערעור לבית המשפט העליון בגין פסק דיננו שניתן ביום 16.5.23).</w:t>
      </w:r>
    </w:p>
    <w:p w:rsidR="00B61677" w:rsidRDefault="00B61677" w:rsidP="00B61677">
      <w:pPr>
        <w:spacing w:after="120" w:line="360" w:lineRule="auto"/>
        <w:ind w:left="709" w:hanging="709"/>
        <w:jc w:val="both"/>
        <w:rPr>
          <w:rFonts w:ascii="David" w:hAnsi="David"/>
          <w:rtl/>
        </w:rPr>
      </w:pPr>
      <w:r>
        <w:rPr>
          <w:rFonts w:ascii="David" w:hAnsi="David"/>
          <w:rtl/>
        </w:rPr>
        <w:tab/>
        <w:t xml:space="preserve">בקשה לביטול פסק דין הוכרה בתקנות היא אך לגבי פסק דין שניתן </w:t>
      </w:r>
      <w:r>
        <w:rPr>
          <w:rFonts w:ascii="David" w:hAnsi="David"/>
          <w:u w:val="single"/>
          <w:rtl/>
        </w:rPr>
        <w:t>במעמד צד אחד</w:t>
      </w:r>
      <w:r>
        <w:rPr>
          <w:rFonts w:ascii="David" w:hAnsi="David"/>
          <w:rtl/>
        </w:rPr>
        <w:t xml:space="preserve"> – והיא מוסדרת בתקנה 131 לתקנות סדר הדין האזרחי, התשע"ט-2018, על תנאיה (</w:t>
      </w:r>
      <w:r>
        <w:rPr>
          <w:rFonts w:ascii="David" w:hAnsi="David"/>
          <w:u w:val="single"/>
          <w:rtl/>
        </w:rPr>
        <w:t>ראו לעניין זה</w:t>
      </w:r>
      <w:r>
        <w:rPr>
          <w:rFonts w:ascii="David" w:hAnsi="David"/>
          <w:rtl/>
        </w:rPr>
        <w:t xml:space="preserve">: ע"א 3255/19 </w:t>
      </w:r>
      <w:r>
        <w:rPr>
          <w:rFonts w:ascii="David" w:hAnsi="David"/>
          <w:b/>
          <w:bCs/>
          <w:rtl/>
        </w:rPr>
        <w:t>טליה פבזנר נ' יונתן שפר</w:t>
      </w:r>
      <w:r>
        <w:rPr>
          <w:rFonts w:ascii="David" w:hAnsi="David"/>
          <w:rtl/>
        </w:rPr>
        <w:t xml:space="preserve"> (30.5.20</w:t>
      </w:r>
      <w:r w:rsidR="001C5486">
        <w:rPr>
          <w:rFonts w:ascii="David" w:hAnsi="David"/>
          <w:rtl/>
        </w:rPr>
        <w:t>21), פסק</w:t>
      </w:r>
      <w:r w:rsidR="001C5486">
        <w:rPr>
          <w:rFonts w:ascii="David" w:hAnsi="David" w:hint="cs"/>
          <w:rtl/>
        </w:rPr>
        <w:t>אות 15-16).</w:t>
      </w:r>
      <w:r>
        <w:rPr>
          <w:rFonts w:ascii="David" w:hAnsi="David"/>
          <w:rtl/>
        </w:rPr>
        <w:t xml:space="preserve"> </w:t>
      </w:r>
    </w:p>
    <w:p w:rsidR="00B61677" w:rsidRDefault="00B61677" w:rsidP="00B61677">
      <w:pPr>
        <w:spacing w:after="120" w:line="360" w:lineRule="auto"/>
        <w:ind w:left="709" w:hanging="709"/>
        <w:jc w:val="both"/>
        <w:rPr>
          <w:rFonts w:ascii="David" w:hAnsi="David"/>
          <w:rtl/>
        </w:rPr>
      </w:pPr>
      <w:r>
        <w:rPr>
          <w:rFonts w:ascii="David" w:hAnsi="David"/>
          <w:rtl/>
        </w:rPr>
        <w:tab/>
        <w:t xml:space="preserve">כאמור, בכל הקשור ל"תקיפת" פסק דין שניתן במעמד הצדדים, כבענייננו, הרי שלא מוכר הליך של "בקשה לביטול פסק דין" ויש לערער עליו, או לבקש לערער עליו, לערכאת הערעור המתאימה ובכפוף להוראות התקנות לסדרי דין. </w:t>
      </w:r>
    </w:p>
    <w:p w:rsidR="00B61677" w:rsidRDefault="00B61677" w:rsidP="00B61677">
      <w:pPr>
        <w:spacing w:after="120" w:line="360" w:lineRule="auto"/>
        <w:ind w:left="709" w:hanging="709"/>
        <w:jc w:val="both"/>
        <w:rPr>
          <w:rFonts w:ascii="David" w:hAnsi="David"/>
          <w:rtl/>
        </w:rPr>
      </w:pPr>
      <w:r>
        <w:rPr>
          <w:rFonts w:ascii="David" w:hAnsi="David"/>
          <w:rtl/>
        </w:rPr>
        <w:t>17.</w:t>
      </w:r>
      <w:r>
        <w:rPr>
          <w:rFonts w:ascii="David" w:hAnsi="David"/>
          <w:rtl/>
        </w:rPr>
        <w:tab/>
      </w:r>
      <w:r>
        <w:rPr>
          <w:rFonts w:ascii="David" w:hAnsi="David"/>
          <w:b/>
          <w:bCs/>
          <w:rtl/>
        </w:rPr>
        <w:t>אם כן, יש לדחות את בקשת האב אף ברכיב זה</w:t>
      </w:r>
      <w:r>
        <w:rPr>
          <w:rFonts w:ascii="David" w:hAnsi="David"/>
          <w:rtl/>
        </w:rPr>
        <w:t>.</w:t>
      </w:r>
    </w:p>
    <w:p w:rsidR="00B61677" w:rsidRDefault="00B61677" w:rsidP="00B61677">
      <w:pPr>
        <w:spacing w:after="120" w:line="360" w:lineRule="auto"/>
        <w:ind w:left="709" w:hanging="709"/>
        <w:jc w:val="both"/>
        <w:rPr>
          <w:rFonts w:ascii="David" w:hAnsi="David"/>
          <w:rtl/>
        </w:rPr>
      </w:pPr>
    </w:p>
    <w:p w:rsidR="00B61677" w:rsidRDefault="00B61677" w:rsidP="00B61677">
      <w:pPr>
        <w:spacing w:after="120" w:line="360" w:lineRule="auto"/>
        <w:ind w:left="709" w:hanging="709"/>
        <w:jc w:val="both"/>
        <w:rPr>
          <w:rFonts w:ascii="David" w:hAnsi="David"/>
          <w:b/>
          <w:bCs/>
          <w:u w:val="single"/>
          <w:rtl/>
        </w:rPr>
      </w:pPr>
      <w:r>
        <w:rPr>
          <w:rFonts w:ascii="David" w:hAnsi="David"/>
          <w:b/>
          <w:bCs/>
          <w:u w:val="single"/>
          <w:rtl/>
        </w:rPr>
        <w:lastRenderedPageBreak/>
        <w:t>סוף דבר</w:t>
      </w:r>
    </w:p>
    <w:p w:rsidR="00B61677" w:rsidRDefault="00B61677" w:rsidP="00B61677">
      <w:pPr>
        <w:spacing w:after="120" w:line="360" w:lineRule="auto"/>
        <w:ind w:left="709" w:hanging="709"/>
        <w:jc w:val="both"/>
        <w:rPr>
          <w:rFonts w:ascii="David" w:hAnsi="David"/>
          <w:rtl/>
        </w:rPr>
      </w:pPr>
      <w:r>
        <w:rPr>
          <w:rFonts w:ascii="David" w:hAnsi="David"/>
          <w:rtl/>
        </w:rPr>
        <w:t>18.</w:t>
      </w:r>
      <w:r>
        <w:rPr>
          <w:rFonts w:ascii="David" w:hAnsi="David"/>
          <w:rtl/>
        </w:rPr>
        <w:tab/>
      </w:r>
      <w:r>
        <w:rPr>
          <w:rFonts w:ascii="David" w:hAnsi="David"/>
          <w:b/>
          <w:bCs/>
          <w:rtl/>
        </w:rPr>
        <w:t>לאור כל האמור לעיל, אנו דוחים את הבקשה לביטול פסק הדין</w:t>
      </w:r>
      <w:r>
        <w:rPr>
          <w:rFonts w:ascii="David" w:hAnsi="David"/>
          <w:rtl/>
        </w:rPr>
        <w:t>.</w:t>
      </w:r>
    </w:p>
    <w:p w:rsidR="00694556" w:rsidRDefault="00B61677" w:rsidP="000F082B">
      <w:pPr>
        <w:spacing w:after="120" w:line="360" w:lineRule="auto"/>
        <w:ind w:left="709" w:hanging="709"/>
        <w:jc w:val="both"/>
        <w:rPr>
          <w:rFonts w:ascii="Arial" w:hAnsi="Arial"/>
          <w:noProof w:val="0"/>
          <w:rtl/>
        </w:rPr>
      </w:pPr>
      <w:r>
        <w:rPr>
          <w:rFonts w:ascii="David" w:hAnsi="David"/>
          <w:rtl/>
        </w:rPr>
        <w:t>19.</w:t>
      </w:r>
      <w:r>
        <w:rPr>
          <w:rFonts w:ascii="David" w:hAnsi="David"/>
          <w:rtl/>
        </w:rPr>
        <w:tab/>
        <w:t>המבקש יישא בהוצאות המשיב בבקשה זו בסך כולל של 3,000 ₪. סך זה ישולם למשיב באמצעות בא כוחו תוך 30 ימים מהיום, שאם לא כן יישא הפרשי הצמדה וריבית מיום מתן החלטה זו ועד יום התשלום בפועל.</w:t>
      </w:r>
    </w:p>
    <w:p w:rsidR="00376013" w:rsidRDefault="00376013" w:rsidP="000F082B">
      <w:pPr>
        <w:spacing w:after="120" w:line="360" w:lineRule="auto"/>
        <w:ind w:left="709" w:hanging="709"/>
        <w:jc w:val="both"/>
        <w:rPr>
          <w:rFonts w:ascii="Arial" w:hAnsi="Arial"/>
          <w:noProof w:val="0"/>
          <w:rtl/>
        </w:rPr>
      </w:pPr>
    </w:p>
    <w:p w:rsidR="00376013" w:rsidRDefault="00376013" w:rsidP="000F082B">
      <w:pPr>
        <w:spacing w:after="120" w:line="360" w:lineRule="auto"/>
        <w:ind w:left="709" w:hanging="709"/>
        <w:jc w:val="both"/>
        <w:rPr>
          <w:rFonts w:ascii="Arial" w:hAnsi="Arial"/>
          <w:b/>
          <w:bCs/>
          <w:noProof w:val="0"/>
          <w:rtl/>
        </w:rPr>
      </w:pPr>
      <w:r>
        <w:rPr>
          <w:rFonts w:ascii="Arial" w:hAnsi="Arial" w:hint="cs"/>
          <w:b/>
          <w:bCs/>
          <w:noProof w:val="0"/>
          <w:rtl/>
        </w:rPr>
        <w:t>המזכירות תעביר החלטה זאת לצדדים.</w:t>
      </w:r>
    </w:p>
    <w:p w:rsidR="00376013" w:rsidRPr="00376013" w:rsidRDefault="00376013" w:rsidP="000F082B">
      <w:pPr>
        <w:spacing w:after="120" w:line="360" w:lineRule="auto"/>
        <w:ind w:left="709" w:hanging="709"/>
        <w:jc w:val="both"/>
        <w:rPr>
          <w:rFonts w:ascii="Arial" w:hAnsi="Arial"/>
          <w:b/>
          <w:bCs/>
          <w:noProof w:val="0"/>
          <w:rtl/>
        </w:rPr>
      </w:pPr>
      <w:r>
        <w:rPr>
          <w:rFonts w:ascii="Arial" w:hAnsi="Arial" w:hint="cs"/>
          <w:b/>
          <w:bCs/>
          <w:noProof w:val="0"/>
          <w:rtl/>
        </w:rPr>
        <w:t>החלטה זאת מותרת לפרסום תוך השמטת שמות הצדדים, וכל פרט מזהה אחר.</w:t>
      </w: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C43648" w:rsidRDefault="0043502B" w:rsidP="000F082B">
      <w:pPr>
        <w:spacing w:line="360" w:lineRule="auto"/>
        <w:jc w:val="both"/>
        <w:rPr>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ט"ו תמוז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04 יולי 2023</w:t>
          </w:r>
        </w:sdtContent>
      </w:sdt>
      <w:r w:rsidR="00005C8B">
        <w:rPr>
          <w:rFonts w:ascii="Arial" w:hAnsi="Arial"/>
          <w:noProof w:val="0"/>
          <w:rtl/>
        </w:rPr>
        <w:t>, בהעדר הצדדים.</w:t>
      </w:r>
    </w:p>
    <w:p w:rsidR="000F082B" w:rsidRDefault="000F082B" w:rsidP="000F082B">
      <w:pPr>
        <w:spacing w:line="360" w:lineRule="auto"/>
        <w:jc w:val="both"/>
        <w:rPr>
          <w:rtl/>
        </w:rPr>
      </w:pPr>
    </w:p>
    <w:p w:rsidR="000F082B" w:rsidRDefault="000F082B" w:rsidP="000F082B">
      <w:pPr>
        <w:spacing w:line="360" w:lineRule="auto"/>
        <w:jc w:val="both"/>
        <w:rPr>
          <w:rtl/>
        </w:rPr>
      </w:pPr>
    </w:p>
    <w:p w:rsidR="000F082B" w:rsidRDefault="000F082B" w:rsidP="000F082B">
      <w:pPr>
        <w:spacing w:line="360" w:lineRule="auto"/>
        <w:jc w:val="both"/>
        <w:rPr>
          <w:rtl/>
        </w:rPr>
      </w:pPr>
    </w:p>
    <w:p w:rsidR="000F082B" w:rsidRPr="00EC12BC" w:rsidRDefault="000F082B"/>
    <w:tbl>
      <w:tblPr>
        <w:tblStyle w:val="a9"/>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96"/>
        <w:gridCol w:w="354"/>
        <w:gridCol w:w="2312"/>
        <w:gridCol w:w="341"/>
        <w:gridCol w:w="2503"/>
      </w:tblGrid>
      <w:tr w:rsidR="000F082B" w:rsidRPr="00EC12BC" w:rsidTr="000210FB">
        <w:tc>
          <w:tcPr>
            <w:tcW w:w="2796" w:type="dxa"/>
            <w:tcBorders>
              <w:top w:val="nil"/>
              <w:left w:val="nil"/>
              <w:bottom w:val="single" w:sz="4" w:space="0" w:color="auto"/>
              <w:right w:val="nil"/>
            </w:tcBorders>
            <w:vAlign w:val="bottom"/>
          </w:tcPr>
          <w:p w:rsidR="000F082B" w:rsidRPr="00EC12BC" w:rsidRDefault="000F082B" w:rsidP="00BB162B">
            <w:pPr>
              <w:jc w:val="center"/>
              <w:rPr>
                <w:rFonts w:ascii="Courier New" w:hAnsi="Courier New"/>
                <w:b/>
                <w:bCs/>
              </w:rPr>
            </w:pPr>
            <w:r>
              <w:drawing>
                <wp:inline distT="0" distB="0" distL="0" distR="0" wp14:anchorId="49805456" wp14:editId="5B3046D9">
                  <wp:extent cx="1361051" cy="844004"/>
                  <wp:effectExtent l="0" t="0" r="0" b="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366341" cy="847284"/>
                          </a:xfrm>
                          <a:prstGeom prst="rect">
                            <a:avLst/>
                          </a:prstGeom>
                        </pic:spPr>
                      </pic:pic>
                    </a:graphicData>
                  </a:graphic>
                </wp:inline>
              </w:drawing>
            </w:r>
          </w:p>
        </w:tc>
        <w:tc>
          <w:tcPr>
            <w:tcW w:w="354" w:type="dxa"/>
            <w:vAlign w:val="bottom"/>
          </w:tcPr>
          <w:p w:rsidR="000F082B" w:rsidRPr="00EC12BC" w:rsidRDefault="000F082B" w:rsidP="00BB162B">
            <w:pPr>
              <w:jc w:val="center"/>
              <w:rPr>
                <w:rFonts w:ascii="Courier New" w:hAnsi="Courier New"/>
                <w:b/>
                <w:bCs/>
              </w:rPr>
            </w:pPr>
          </w:p>
        </w:tc>
        <w:tc>
          <w:tcPr>
            <w:tcW w:w="2312" w:type="dxa"/>
            <w:tcBorders>
              <w:top w:val="nil"/>
              <w:left w:val="nil"/>
              <w:bottom w:val="single" w:sz="4" w:space="0" w:color="auto"/>
              <w:right w:val="nil"/>
            </w:tcBorders>
            <w:vAlign w:val="bottom"/>
          </w:tcPr>
          <w:p w:rsidR="000F082B" w:rsidRPr="00EC12BC" w:rsidRDefault="000F082B" w:rsidP="00BB162B">
            <w:pPr>
              <w:jc w:val="center"/>
              <w:rPr>
                <w:rFonts w:ascii="Courier New" w:hAnsi="Courier New"/>
                <w:b/>
                <w:bCs/>
              </w:rPr>
            </w:pPr>
            <w:r>
              <w:drawing>
                <wp:inline distT="0" distB="0" distL="0" distR="0" wp14:anchorId="319D00F2" wp14:editId="6F3A089F">
                  <wp:extent cx="527685" cy="817880"/>
                  <wp:effectExtent l="0" t="0" r="5715" b="1270"/>
                  <wp:docPr id="3" name="תמונה 3"/>
                  <wp:cNvGraphicFramePr/>
                  <a:graphic xmlns:a="http://schemas.openxmlformats.org/drawingml/2006/main">
                    <a:graphicData uri="http://schemas.openxmlformats.org/drawingml/2006/picture">
                      <pic:pic xmlns:pic="http://schemas.openxmlformats.org/drawingml/2006/picture">
                        <pic:nvPicPr>
                          <pic:cNvPr id="1" name="תמונה 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685" cy="817880"/>
                          </a:xfrm>
                          <a:prstGeom prst="rect">
                            <a:avLst/>
                          </a:prstGeom>
                          <a:noFill/>
                          <a:ln>
                            <a:noFill/>
                          </a:ln>
                        </pic:spPr>
                      </pic:pic>
                    </a:graphicData>
                  </a:graphic>
                </wp:inline>
              </w:drawing>
            </w:r>
          </w:p>
        </w:tc>
        <w:tc>
          <w:tcPr>
            <w:tcW w:w="341" w:type="dxa"/>
            <w:vAlign w:val="bottom"/>
          </w:tcPr>
          <w:p w:rsidR="000F082B" w:rsidRPr="00EC12BC" w:rsidRDefault="000F082B" w:rsidP="00BB162B">
            <w:pPr>
              <w:jc w:val="center"/>
              <w:rPr>
                <w:rFonts w:ascii="Courier New" w:hAnsi="Courier New"/>
                <w:b/>
                <w:bCs/>
              </w:rPr>
            </w:pPr>
          </w:p>
        </w:tc>
        <w:tc>
          <w:tcPr>
            <w:tcW w:w="2503" w:type="dxa"/>
            <w:tcBorders>
              <w:top w:val="nil"/>
              <w:left w:val="nil"/>
              <w:bottom w:val="single" w:sz="4" w:space="0" w:color="auto"/>
              <w:right w:val="nil"/>
            </w:tcBorders>
            <w:vAlign w:val="bottom"/>
          </w:tcPr>
          <w:p w:rsidR="000F082B" w:rsidRPr="00EC12BC" w:rsidRDefault="000F082B" w:rsidP="00BB162B">
            <w:pPr>
              <w:jc w:val="center"/>
              <w:rPr>
                <w:rFonts w:ascii="Courier New" w:hAnsi="Courier New"/>
                <w:b/>
                <w:bCs/>
              </w:rPr>
            </w:pPr>
            <w:r>
              <w:drawing>
                <wp:inline distT="0" distB="0" distL="0" distR="0" wp14:anchorId="6A3F69AA" wp14:editId="3EF4D19F">
                  <wp:extent cx="848360" cy="877570"/>
                  <wp:effectExtent l="0" t="0" r="8890" b="0"/>
                  <wp:docPr id="2" name="תמונה 2"/>
                  <wp:cNvGraphicFramePr/>
                  <a:graphic xmlns:a="http://schemas.openxmlformats.org/drawingml/2006/main">
                    <a:graphicData uri="http://schemas.openxmlformats.org/drawingml/2006/picture">
                      <pic:pic xmlns:pic="http://schemas.openxmlformats.org/drawingml/2006/picture">
                        <pic:nvPicPr>
                          <pic:cNvPr id="2" name="תמונה 2"/>
                          <pic:cNvPicPr/>
                        </pic:nvPicPr>
                        <pic:blipFill>
                          <a:blip r:embed="rId9">
                            <a:extLst>
                              <a:ext uri="{BEBA8EAE-BF5A-486C-A8C5-ECC9F3942E4B}">
                                <a14:imgProps xmlns:a14="http://schemas.microsoft.com/office/drawing/2010/main">
                                  <a14:imgLayer r:embed="rId10">
                                    <a14:imgEffect>
                                      <a14:brightnessContrast bright="20000" contrast="20000"/>
                                    </a14:imgEffect>
                                  </a14:imgLayer>
                                </a14:imgProps>
                              </a:ext>
                            </a:extLst>
                          </a:blip>
                          <a:stretch>
                            <a:fillRect/>
                          </a:stretch>
                        </pic:blipFill>
                        <pic:spPr>
                          <a:xfrm>
                            <a:off x="0" y="0"/>
                            <a:ext cx="848360" cy="877570"/>
                          </a:xfrm>
                          <a:prstGeom prst="rect">
                            <a:avLst/>
                          </a:prstGeom>
                        </pic:spPr>
                      </pic:pic>
                    </a:graphicData>
                  </a:graphic>
                </wp:inline>
              </w:drawing>
            </w:r>
          </w:p>
        </w:tc>
      </w:tr>
      <w:tr w:rsidR="000F082B" w:rsidRPr="00EC12BC" w:rsidTr="000210FB">
        <w:tc>
          <w:tcPr>
            <w:tcW w:w="2796" w:type="dxa"/>
            <w:tcBorders>
              <w:top w:val="single" w:sz="4" w:space="0" w:color="auto"/>
              <w:left w:val="nil"/>
              <w:bottom w:val="nil"/>
              <w:right w:val="nil"/>
            </w:tcBorders>
          </w:tcPr>
          <w:p w:rsidR="000F082B" w:rsidRDefault="000F082B" w:rsidP="00BB162B">
            <w:pPr>
              <w:jc w:val="center"/>
              <w:rPr>
                <w:b/>
                <w:bCs/>
                <w:rtl/>
              </w:rPr>
            </w:pPr>
            <w:r>
              <w:rPr>
                <w:rFonts w:hint="cs"/>
                <w:b/>
                <w:bCs/>
                <w:rtl/>
              </w:rPr>
              <w:t>ח. שרעבי, שופט</w:t>
            </w:r>
          </w:p>
          <w:p w:rsidR="000F082B" w:rsidRPr="00EC12BC" w:rsidRDefault="000F082B" w:rsidP="00BB162B">
            <w:pPr>
              <w:jc w:val="center"/>
              <w:rPr>
                <w:b/>
                <w:bCs/>
              </w:rPr>
            </w:pPr>
            <w:r>
              <w:rPr>
                <w:rFonts w:hint="cs"/>
                <w:b/>
                <w:bCs/>
                <w:rtl/>
              </w:rPr>
              <w:t>אב"ד</w:t>
            </w:r>
          </w:p>
        </w:tc>
        <w:tc>
          <w:tcPr>
            <w:tcW w:w="354" w:type="dxa"/>
          </w:tcPr>
          <w:p w:rsidR="000F082B" w:rsidRPr="00EC12BC" w:rsidRDefault="000F082B" w:rsidP="00BB162B">
            <w:pPr>
              <w:spacing w:line="360" w:lineRule="auto"/>
              <w:rPr>
                <w:b/>
                <w:bCs/>
                <w:color w:val="FF0000"/>
              </w:rPr>
            </w:pPr>
          </w:p>
        </w:tc>
        <w:tc>
          <w:tcPr>
            <w:tcW w:w="2312" w:type="dxa"/>
            <w:tcBorders>
              <w:top w:val="single" w:sz="4" w:space="0" w:color="auto"/>
              <w:left w:val="nil"/>
              <w:bottom w:val="nil"/>
              <w:right w:val="nil"/>
            </w:tcBorders>
          </w:tcPr>
          <w:p w:rsidR="000F082B" w:rsidRPr="00EC12BC" w:rsidRDefault="000F082B" w:rsidP="00BB162B">
            <w:pPr>
              <w:spacing w:line="360" w:lineRule="auto"/>
              <w:jc w:val="center"/>
              <w:rPr>
                <w:b/>
                <w:bCs/>
              </w:rPr>
            </w:pPr>
            <w:r>
              <w:rPr>
                <w:rFonts w:hint="cs"/>
                <w:b/>
                <w:bCs/>
                <w:rtl/>
              </w:rPr>
              <w:t>א. אלון, שופטת</w:t>
            </w:r>
          </w:p>
        </w:tc>
        <w:tc>
          <w:tcPr>
            <w:tcW w:w="341" w:type="dxa"/>
          </w:tcPr>
          <w:p w:rsidR="000F082B" w:rsidRPr="00EC12BC" w:rsidRDefault="000F082B" w:rsidP="00BB162B">
            <w:pPr>
              <w:spacing w:line="360" w:lineRule="auto"/>
              <w:rPr>
                <w:b/>
                <w:bCs/>
                <w:color w:val="FF0000"/>
              </w:rPr>
            </w:pPr>
          </w:p>
        </w:tc>
        <w:tc>
          <w:tcPr>
            <w:tcW w:w="2503" w:type="dxa"/>
            <w:tcBorders>
              <w:top w:val="single" w:sz="4" w:space="0" w:color="auto"/>
              <w:left w:val="nil"/>
              <w:bottom w:val="nil"/>
              <w:right w:val="nil"/>
            </w:tcBorders>
          </w:tcPr>
          <w:p w:rsidR="000F082B" w:rsidRPr="00EC12BC" w:rsidRDefault="000F082B" w:rsidP="00BB162B">
            <w:pPr>
              <w:spacing w:line="360" w:lineRule="auto"/>
              <w:jc w:val="center"/>
              <w:rPr>
                <w:b/>
                <w:bCs/>
                <w:rtl/>
              </w:rPr>
            </w:pPr>
            <w:r>
              <w:rPr>
                <w:rFonts w:hint="cs"/>
                <w:b/>
                <w:bCs/>
                <w:rtl/>
              </w:rPr>
              <w:t>א. נאמן, שופט</w:t>
            </w:r>
          </w:p>
        </w:tc>
      </w:tr>
    </w:tbl>
    <w:p w:rsidR="00694556" w:rsidRDefault="00BD6531" w:rsidP="000F082B">
      <w:pPr>
        <w:tabs>
          <w:tab w:val="left" w:pos="2553"/>
        </w:tabs>
        <w:rPr>
          <w:rFonts w:ascii="Arial" w:hAnsi="Arial"/>
          <w:noProof w:val="0"/>
          <w:rtl/>
        </w:rPr>
      </w:pPr>
      <w:r>
        <w:rPr>
          <w:rFonts w:hint="cs"/>
          <w:rtl/>
        </w:rPr>
        <w:tab/>
      </w:r>
      <w:r>
        <w:rPr>
          <w:rFonts w:hint="cs"/>
          <w:rtl/>
        </w:rPr>
        <w:tab/>
      </w:r>
      <w:r>
        <w:rPr>
          <w:rFonts w:hint="cs"/>
          <w:rtl/>
        </w:rPr>
        <w:tab/>
      </w:r>
      <w:r>
        <w:rPr>
          <w:rFonts w:hint="cs"/>
          <w:rtl/>
        </w:rPr>
        <w:tab/>
        <w:t xml:space="preserve">        </w:t>
      </w:r>
    </w:p>
    <w:sectPr w:rsidR="00694556" w:rsidSect="00FA135E">
      <w:headerReference w:type="even" r:id="rId11"/>
      <w:headerReference w:type="default" r:id="rId12"/>
      <w:footerReference w:type="even" r:id="rId13"/>
      <w:footerReference w:type="default" r:id="rId14"/>
      <w:headerReference w:type="first" r:id="rId15"/>
      <w:footerReference w:type="first" r:id="rId16"/>
      <w:pgSz w:w="11907" w:h="16840" w:code="9"/>
      <w:pgMar w:top="1440" w:right="1559" w:bottom="1440" w:left="1418"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4736" w:rsidRDefault="00EA4736">
      <w:r>
        <w:separator/>
      </w:r>
    </w:p>
  </w:endnote>
  <w:endnote w:type="continuationSeparator" w:id="0">
    <w:p w:rsidR="00EA4736" w:rsidRDefault="00EA4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0934" w:rsidRDefault="003A0934">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5D66F9">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5D66F9">
      <w:rPr>
        <w:rStyle w:val="ab"/>
        <w:rtl/>
      </w:rPr>
      <w:t>8</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0934" w:rsidRDefault="003A093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4736" w:rsidRDefault="00EA4736">
      <w:r>
        <w:separator/>
      </w:r>
    </w:p>
  </w:footnote>
  <w:footnote w:type="continuationSeparator" w:id="0">
    <w:p w:rsidR="00EA4736" w:rsidRDefault="00EA47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0934" w:rsidRDefault="003A093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6"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047"/>
      <w:gridCol w:w="3674"/>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5D66F9" w:rsidP="00FA6561">
          <w:pPr>
            <w:rPr>
              <w:b/>
              <w:bCs/>
              <w:noProof w:val="0"/>
              <w:sz w:val="26"/>
              <w:szCs w:val="26"/>
              <w:rtl/>
            </w:rPr>
          </w:pPr>
          <w:sdt>
            <w:sdtPr>
              <w:rPr>
                <w:rtl/>
              </w:rPr>
              <w:alias w:val="1170"/>
              <w:tag w:val="1170"/>
              <w:id w:val="1066377040"/>
              <w:text w:multiLine="1"/>
            </w:sdtPr>
            <w:sdtEndPr/>
            <w:sdtContent>
              <w:r w:rsidR="00FE09EC">
                <w:rPr>
                  <w:b/>
                  <w:bCs/>
                  <w:noProof w:val="0"/>
                  <w:sz w:val="26"/>
                  <w:szCs w:val="26"/>
                  <w:rtl/>
                </w:rPr>
                <w:t>עמ"ש</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FE09EC">
                <w:rPr>
                  <w:b/>
                  <w:bCs/>
                  <w:noProof w:val="0"/>
                  <w:sz w:val="26"/>
                  <w:szCs w:val="26"/>
                  <w:rtl/>
                </w:rPr>
                <w:t>59211-01-23</w:t>
              </w:r>
            </w:sdtContent>
          </w:sdt>
          <w:bookmarkEnd w:id="1"/>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FA6561">
                <w:rPr>
                  <w:rFonts w:hint="cs"/>
                  <w:b/>
                  <w:bCs/>
                  <w:noProof w:val="0"/>
                  <w:sz w:val="26"/>
                  <w:szCs w:val="26"/>
                  <w:rtl/>
                </w:rPr>
                <w:t>ח'</w:t>
              </w:r>
              <w:r w:rsidR="00FE09EC">
                <w:rPr>
                  <w:b/>
                  <w:bCs/>
                  <w:noProof w:val="0"/>
                  <w:sz w:val="26"/>
                  <w:szCs w:val="26"/>
                  <w:rtl/>
                </w:rPr>
                <w:t xml:space="preserve"> נ' </w:t>
              </w:r>
              <w:r w:rsidR="00FA6561">
                <w:rPr>
                  <w:rFonts w:hint="cs"/>
                  <w:b/>
                  <w:bCs/>
                  <w:noProof w:val="0"/>
                  <w:sz w:val="26"/>
                  <w:szCs w:val="26"/>
                  <w:rtl/>
                </w:rPr>
                <w:t>ח'</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8D10B2" w:rsidRPr="00E1068A" w:rsidRDefault="007D45E3" w:rsidP="00B61677">
          <w:pPr>
            <w:rPr>
              <w:sz w:val="20"/>
              <w:szCs w:val="20"/>
              <w:rtl/>
            </w:rPr>
          </w:pPr>
          <w:r>
            <w:rPr>
              <w:rFonts w:hint="cs"/>
              <w:rtl/>
            </w:rPr>
            <w:t xml:space="preserve">                           </w:t>
          </w:r>
          <w:r>
            <w:rPr>
              <w:rFonts w:hint="cs"/>
              <w:sz w:val="20"/>
              <w:szCs w:val="20"/>
              <w:rtl/>
            </w:rPr>
            <w:t xml:space="preserve">                                       </w:t>
          </w:r>
          <w:r w:rsidRPr="00E1068A">
            <w:rPr>
              <w:rFonts w:hint="cs"/>
              <w:sz w:val="20"/>
              <w:szCs w:val="20"/>
              <w:rtl/>
            </w:rPr>
            <w:t xml:space="preserve"> </w:t>
          </w:r>
          <w:r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0934" w:rsidRDefault="003A093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07DE0"/>
    <w:rsid w:val="000346CC"/>
    <w:rsid w:val="000529D2"/>
    <w:rsid w:val="000564AB"/>
    <w:rsid w:val="00064FBD"/>
    <w:rsid w:val="00082AB2"/>
    <w:rsid w:val="000906FE"/>
    <w:rsid w:val="00096AF7"/>
    <w:rsid w:val="000B344B"/>
    <w:rsid w:val="000C3B0F"/>
    <w:rsid w:val="000C3B60"/>
    <w:rsid w:val="000E0DD2"/>
    <w:rsid w:val="000E3AF1"/>
    <w:rsid w:val="000F082B"/>
    <w:rsid w:val="000F0BC8"/>
    <w:rsid w:val="000F0DD6"/>
    <w:rsid w:val="00107E6D"/>
    <w:rsid w:val="0011194C"/>
    <w:rsid w:val="0011424C"/>
    <w:rsid w:val="001173C6"/>
    <w:rsid w:val="001367BC"/>
    <w:rsid w:val="00144D2A"/>
    <w:rsid w:val="0014653E"/>
    <w:rsid w:val="00180519"/>
    <w:rsid w:val="00191C82"/>
    <w:rsid w:val="001A7DFA"/>
    <w:rsid w:val="001C4003"/>
    <w:rsid w:val="001C5486"/>
    <w:rsid w:val="001D4DBF"/>
    <w:rsid w:val="001E75CA"/>
    <w:rsid w:val="002265FF"/>
    <w:rsid w:val="00235B97"/>
    <w:rsid w:val="00271B56"/>
    <w:rsid w:val="002C344E"/>
    <w:rsid w:val="002E75E9"/>
    <w:rsid w:val="002F0B1E"/>
    <w:rsid w:val="00307A6A"/>
    <w:rsid w:val="00307C40"/>
    <w:rsid w:val="00320433"/>
    <w:rsid w:val="003230C7"/>
    <w:rsid w:val="00327E50"/>
    <w:rsid w:val="0033597A"/>
    <w:rsid w:val="00343D89"/>
    <w:rsid w:val="00362612"/>
    <w:rsid w:val="0036743F"/>
    <w:rsid w:val="003715DD"/>
    <w:rsid w:val="00376013"/>
    <w:rsid w:val="003823E0"/>
    <w:rsid w:val="003A0934"/>
    <w:rsid w:val="003A1B7C"/>
    <w:rsid w:val="003A4521"/>
    <w:rsid w:val="003B3E8D"/>
    <w:rsid w:val="003D1C8C"/>
    <w:rsid w:val="0040096C"/>
    <w:rsid w:val="00414F1F"/>
    <w:rsid w:val="0043125D"/>
    <w:rsid w:val="0043502B"/>
    <w:rsid w:val="004443AC"/>
    <w:rsid w:val="00444B02"/>
    <w:rsid w:val="00451E28"/>
    <w:rsid w:val="00462C62"/>
    <w:rsid w:val="00465D36"/>
    <w:rsid w:val="00472843"/>
    <w:rsid w:val="004C17EE"/>
    <w:rsid w:val="004C4BDF"/>
    <w:rsid w:val="004D1187"/>
    <w:rsid w:val="004D3AA0"/>
    <w:rsid w:val="004E1987"/>
    <w:rsid w:val="004E2E15"/>
    <w:rsid w:val="004E6E3C"/>
    <w:rsid w:val="00511B90"/>
    <w:rsid w:val="00520898"/>
    <w:rsid w:val="00523621"/>
    <w:rsid w:val="00524986"/>
    <w:rsid w:val="005268F6"/>
    <w:rsid w:val="00534284"/>
    <w:rsid w:val="00547DB7"/>
    <w:rsid w:val="005B1E13"/>
    <w:rsid w:val="005C0627"/>
    <w:rsid w:val="005D66F9"/>
    <w:rsid w:val="005F4F09"/>
    <w:rsid w:val="0061431B"/>
    <w:rsid w:val="00622BAA"/>
    <w:rsid w:val="006306CF"/>
    <w:rsid w:val="006318D8"/>
    <w:rsid w:val="00644E9A"/>
    <w:rsid w:val="00671BD5"/>
    <w:rsid w:val="006805C1"/>
    <w:rsid w:val="00686C21"/>
    <w:rsid w:val="006931C1"/>
    <w:rsid w:val="00694556"/>
    <w:rsid w:val="006B7258"/>
    <w:rsid w:val="006C30C5"/>
    <w:rsid w:val="006D3B31"/>
    <w:rsid w:val="006E0D96"/>
    <w:rsid w:val="006E1A53"/>
    <w:rsid w:val="006F56E6"/>
    <w:rsid w:val="00704EDA"/>
    <w:rsid w:val="00721122"/>
    <w:rsid w:val="00734689"/>
    <w:rsid w:val="00753019"/>
    <w:rsid w:val="00754801"/>
    <w:rsid w:val="00761441"/>
    <w:rsid w:val="00793187"/>
    <w:rsid w:val="00795365"/>
    <w:rsid w:val="007A351D"/>
    <w:rsid w:val="007B7765"/>
    <w:rsid w:val="007C5BDD"/>
    <w:rsid w:val="007D45E3"/>
    <w:rsid w:val="007E6115"/>
    <w:rsid w:val="007F4609"/>
    <w:rsid w:val="00814468"/>
    <w:rsid w:val="008176A1"/>
    <w:rsid w:val="00820005"/>
    <w:rsid w:val="00841158"/>
    <w:rsid w:val="00844318"/>
    <w:rsid w:val="00851257"/>
    <w:rsid w:val="00863F5D"/>
    <w:rsid w:val="00870890"/>
    <w:rsid w:val="00873602"/>
    <w:rsid w:val="00875D12"/>
    <w:rsid w:val="0088479D"/>
    <w:rsid w:val="00891F42"/>
    <w:rsid w:val="00896889"/>
    <w:rsid w:val="008A59EE"/>
    <w:rsid w:val="008A6E97"/>
    <w:rsid w:val="008C5714"/>
    <w:rsid w:val="008D10B2"/>
    <w:rsid w:val="00903896"/>
    <w:rsid w:val="00906F3D"/>
    <w:rsid w:val="0092693B"/>
    <w:rsid w:val="0094424E"/>
    <w:rsid w:val="00955642"/>
    <w:rsid w:val="009622DF"/>
    <w:rsid w:val="0096493F"/>
    <w:rsid w:val="00967DFF"/>
    <w:rsid w:val="00994341"/>
    <w:rsid w:val="009D1A48"/>
    <w:rsid w:val="009E1CE7"/>
    <w:rsid w:val="009E4EA5"/>
    <w:rsid w:val="009F164B"/>
    <w:rsid w:val="009F323C"/>
    <w:rsid w:val="00A3392B"/>
    <w:rsid w:val="00A81988"/>
    <w:rsid w:val="00A85E34"/>
    <w:rsid w:val="00A87DF6"/>
    <w:rsid w:val="00A9144F"/>
    <w:rsid w:val="00A94B64"/>
    <w:rsid w:val="00AA3229"/>
    <w:rsid w:val="00AA657E"/>
    <w:rsid w:val="00AA7596"/>
    <w:rsid w:val="00AB5E52"/>
    <w:rsid w:val="00AC3B02"/>
    <w:rsid w:val="00AC3B7B"/>
    <w:rsid w:val="00AC5209"/>
    <w:rsid w:val="00AE0E34"/>
    <w:rsid w:val="00AE729E"/>
    <w:rsid w:val="00AE7752"/>
    <w:rsid w:val="00AF7FDA"/>
    <w:rsid w:val="00B226A8"/>
    <w:rsid w:val="00B5356E"/>
    <w:rsid w:val="00B61677"/>
    <w:rsid w:val="00B62AD7"/>
    <w:rsid w:val="00B66717"/>
    <w:rsid w:val="00B809AD"/>
    <w:rsid w:val="00B80CBD"/>
    <w:rsid w:val="00B86096"/>
    <w:rsid w:val="00B95D6E"/>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516B"/>
    <w:rsid w:val="00CD608F"/>
    <w:rsid w:val="00CE0084"/>
    <w:rsid w:val="00CF6BB7"/>
    <w:rsid w:val="00D04AA4"/>
    <w:rsid w:val="00D27982"/>
    <w:rsid w:val="00D33B86"/>
    <w:rsid w:val="00D44968"/>
    <w:rsid w:val="00D53924"/>
    <w:rsid w:val="00D55D0C"/>
    <w:rsid w:val="00D96D8C"/>
    <w:rsid w:val="00DA6649"/>
    <w:rsid w:val="00DC1259"/>
    <w:rsid w:val="00DC1BD2"/>
    <w:rsid w:val="00DC2571"/>
    <w:rsid w:val="00DC487C"/>
    <w:rsid w:val="00DD4335"/>
    <w:rsid w:val="00DE1E7D"/>
    <w:rsid w:val="00DE6BF6"/>
    <w:rsid w:val="00E1068A"/>
    <w:rsid w:val="00E13C86"/>
    <w:rsid w:val="00E25884"/>
    <w:rsid w:val="00E25B55"/>
    <w:rsid w:val="00E31C2B"/>
    <w:rsid w:val="00E5426A"/>
    <w:rsid w:val="00E54642"/>
    <w:rsid w:val="00E80CBE"/>
    <w:rsid w:val="00E9269D"/>
    <w:rsid w:val="00E962E3"/>
    <w:rsid w:val="00EA4736"/>
    <w:rsid w:val="00EB6C79"/>
    <w:rsid w:val="00EC37E9"/>
    <w:rsid w:val="00F038D8"/>
    <w:rsid w:val="00F06995"/>
    <w:rsid w:val="00F12D66"/>
    <w:rsid w:val="00F13623"/>
    <w:rsid w:val="00F44D1D"/>
    <w:rsid w:val="00F66649"/>
    <w:rsid w:val="00F84B6D"/>
    <w:rsid w:val="00F957E8"/>
    <w:rsid w:val="00FA135E"/>
    <w:rsid w:val="00FA311A"/>
    <w:rsid w:val="00FA5FDA"/>
    <w:rsid w:val="00FA6561"/>
    <w:rsid w:val="00FA7FD0"/>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5598768">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microsoft.com/office/2007/relationships/hdphoto" Target="media/hdphoto1.wdp"/><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BD69D1" w:rsidP="00BD69D1">
          <w:pPr>
            <w:pStyle w:val="4672CCA166BA4F0A892EB1D7BA0002CB4"/>
          </w:pPr>
          <w:r>
            <w:rPr>
              <w:b/>
              <w:bCs/>
              <w:noProof w:val="0"/>
              <w:sz w:val="26"/>
              <w:szCs w:val="26"/>
              <w:rtl/>
            </w:rPr>
            <w:t>שם תיק ללא שמות חסויים</w:t>
          </w:r>
        </w:p>
      </w:docPartBody>
    </w:docPart>
    <w:docPart>
      <w:docPartPr>
        <w:name w:val="1C8A38705F7143EA87FF3DEB2C34E7E5"/>
        <w:category>
          <w:name w:val="כללי"/>
          <w:gallery w:val="placeholder"/>
        </w:category>
        <w:types>
          <w:type w:val="bbPlcHdr"/>
        </w:types>
        <w:behaviors>
          <w:behavior w:val="content"/>
        </w:behaviors>
        <w:guid w:val="{1E86C3EA-2CF6-44FF-B9FB-927839DC8693}"/>
      </w:docPartPr>
      <w:docPartBody>
        <w:p w:rsidR="00015B33" w:rsidRDefault="00BD69D1" w:rsidP="00BD69D1">
          <w:pPr>
            <w:pStyle w:val="1C8A38705F7143EA87FF3DEB2C34E7E54"/>
          </w:pPr>
          <w:r w:rsidRPr="00CD516B">
            <w:rPr>
              <w:rFonts w:ascii="Arial" w:hAnsi="Arial"/>
              <w:b/>
              <w:bCs/>
              <w:noProof w:val="0"/>
              <w:sz w:val="26"/>
              <w:szCs w:val="26"/>
              <w:rtl/>
            </w:rPr>
            <w:t>שם צד א' ללא שם של חסוי</w:t>
          </w:r>
        </w:p>
      </w:docPartBody>
    </w:docPart>
    <w:docPart>
      <w:docPartPr>
        <w:name w:val="4DC45A2FD697422FAA3CD896A84FA7B4"/>
        <w:category>
          <w:name w:val="כללי"/>
          <w:gallery w:val="placeholder"/>
        </w:category>
        <w:types>
          <w:type w:val="bbPlcHdr"/>
        </w:types>
        <w:behaviors>
          <w:behavior w:val="content"/>
        </w:behaviors>
        <w:guid w:val="{F44DEA08-0FB8-4CA3-B947-527E15190D19}"/>
      </w:docPartPr>
      <w:docPartBody>
        <w:p w:rsidR="00015B33" w:rsidRDefault="00BD69D1" w:rsidP="00BD69D1">
          <w:pPr>
            <w:pStyle w:val="4DC45A2FD697422FAA3CD896A84FA7B44"/>
          </w:pPr>
          <w:r w:rsidRPr="00CD516B">
            <w:rPr>
              <w:rFonts w:ascii="Arial" w:hAnsi="Arial"/>
              <w:b/>
              <w:bCs/>
              <w:noProof w:val="0"/>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1A767F"/>
    <w:rsid w:val="002D02C4"/>
    <w:rsid w:val="00345C9D"/>
    <w:rsid w:val="0048651F"/>
    <w:rsid w:val="004B017A"/>
    <w:rsid w:val="005157ED"/>
    <w:rsid w:val="00556D67"/>
    <w:rsid w:val="00673B50"/>
    <w:rsid w:val="00793995"/>
    <w:rsid w:val="007C6F98"/>
    <w:rsid w:val="007E254A"/>
    <w:rsid w:val="008B4366"/>
    <w:rsid w:val="009133C7"/>
    <w:rsid w:val="009178E4"/>
    <w:rsid w:val="0093491B"/>
    <w:rsid w:val="00961B27"/>
    <w:rsid w:val="009A36E7"/>
    <w:rsid w:val="00AA7CE3"/>
    <w:rsid w:val="00B50DB2"/>
    <w:rsid w:val="00B72BC2"/>
    <w:rsid w:val="00B91FA3"/>
    <w:rsid w:val="00BD69D1"/>
    <w:rsid w:val="00BE6557"/>
    <w:rsid w:val="00C96C06"/>
    <w:rsid w:val="00D24521"/>
    <w:rsid w:val="00D6580E"/>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3491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93491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2231</Words>
  <Characters>11156</Characters>
  <Application>Microsoft Office Word</Application>
  <DocSecurity>4</DocSecurity>
  <Lines>92</Lines>
  <Paragraphs>26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13361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2023-07-26T11:11:00Z</dcterms:created>
  <dcterms:modified xsi:type="dcterms:W3CDTF">2023-07-26T11:11:00Z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f01611d2f08ce24bf7370913faf79e3139ff81da223044b704069c402b47986b</vt:lpwstr>
  </property>
</Properties>
</file>